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DF5D" w14:textId="77777777" w:rsidR="00A608C8" w:rsidRPr="005D1532" w:rsidRDefault="00A608C8" w:rsidP="00A608C8">
      <w:pPr>
        <w:tabs>
          <w:tab w:val="left" w:pos="1390"/>
        </w:tabs>
        <w:jc w:val="center"/>
        <w:rPr>
          <w:rFonts w:ascii="Times New Roman" w:hAnsi="Times New Roman" w:cs="Times New Roman"/>
          <w:b/>
          <w:bCs/>
          <w:sz w:val="32"/>
          <w:szCs w:val="28"/>
          <w:lang w:val="sv-SE"/>
        </w:rPr>
      </w:pPr>
      <w:r w:rsidRPr="005D1532">
        <w:rPr>
          <w:rFonts w:ascii="Times New Roman" w:hAnsi="Times New Roman" w:cs="Times New Roman"/>
          <w:b/>
          <w:bCs/>
          <w:sz w:val="32"/>
          <w:szCs w:val="28"/>
          <w:lang w:val="sv-SE"/>
        </w:rPr>
        <w:t>Increased Knowledge about Dental Caries in Visitors to Puskesmas I Abiansemal After Counseling Using Leaflet Media</w:t>
      </w:r>
    </w:p>
    <w:p w14:paraId="08689DB9" w14:textId="77777777" w:rsidR="00A608C8" w:rsidRPr="00BD0D38" w:rsidRDefault="00A608C8" w:rsidP="00A608C8">
      <w:pPr>
        <w:tabs>
          <w:tab w:val="left" w:pos="1390"/>
        </w:tabs>
        <w:rPr>
          <w:rFonts w:ascii="Times New Roman" w:hAnsi="Times New Roman" w:cs="Times New Roman"/>
          <w:sz w:val="24"/>
          <w:lang w:val="sv-SE"/>
        </w:rPr>
      </w:pPr>
    </w:p>
    <w:p w14:paraId="307778C2" w14:textId="2A058626" w:rsidR="00A608C8" w:rsidRPr="00BD0D38" w:rsidRDefault="00A608C8" w:rsidP="00A608C8">
      <w:pPr>
        <w:tabs>
          <w:tab w:val="left" w:pos="1390"/>
        </w:tabs>
        <w:jc w:val="center"/>
        <w:rPr>
          <w:rFonts w:ascii="Times New Roman" w:hAnsi="Times New Roman" w:cs="Times New Roman"/>
          <w:sz w:val="24"/>
          <w:lang w:val="sv-SE"/>
        </w:rPr>
      </w:pPr>
      <w:r w:rsidRPr="00BD0D38">
        <w:rPr>
          <w:rFonts w:ascii="Times New Roman" w:hAnsi="Times New Roman" w:cs="Times New Roman"/>
          <w:sz w:val="24"/>
          <w:lang w:val="sv-SE"/>
        </w:rPr>
        <w:t>I Gst Ayu Setyaning Cahyani</w:t>
      </w:r>
      <w:r w:rsidR="00A9371B" w:rsidRPr="00A9371B">
        <w:rPr>
          <w:rFonts w:ascii="Times New Roman" w:hAnsi="Times New Roman" w:cs="Times New Roman"/>
          <w:sz w:val="24"/>
          <w:vertAlign w:val="superscript"/>
          <w:lang w:val="sv-SE"/>
        </w:rPr>
        <w:t>1</w:t>
      </w:r>
      <w:r w:rsidRPr="00BD0D38">
        <w:rPr>
          <w:rFonts w:ascii="Times New Roman" w:hAnsi="Times New Roman" w:cs="Times New Roman"/>
          <w:sz w:val="24"/>
          <w:lang w:val="sv-SE"/>
        </w:rPr>
        <w:t>, I</w:t>
      </w:r>
      <w:r w:rsidR="00A9371B">
        <w:rPr>
          <w:rFonts w:ascii="Times New Roman" w:hAnsi="Times New Roman" w:cs="Times New Roman"/>
          <w:sz w:val="24"/>
          <w:lang w:val="sv-SE"/>
        </w:rPr>
        <w:t>da Ayu Dhyana Agustina Ananda</w:t>
      </w:r>
      <w:r w:rsidR="00A9371B" w:rsidRPr="00A9371B">
        <w:rPr>
          <w:rFonts w:ascii="Times New Roman" w:hAnsi="Times New Roman" w:cs="Times New Roman"/>
          <w:sz w:val="24"/>
          <w:vertAlign w:val="superscript"/>
          <w:lang w:val="sv-SE"/>
        </w:rPr>
        <w:t>2</w:t>
      </w:r>
      <w:r w:rsidRPr="00BD0D38">
        <w:rPr>
          <w:rFonts w:ascii="Times New Roman" w:hAnsi="Times New Roman" w:cs="Times New Roman"/>
          <w:sz w:val="24"/>
          <w:lang w:val="sv-SE"/>
        </w:rPr>
        <w:t>, Sagung Agung Putri Dwiastuti</w:t>
      </w:r>
      <w:r w:rsidR="00A9371B" w:rsidRPr="00A9371B">
        <w:rPr>
          <w:rFonts w:ascii="Times New Roman" w:hAnsi="Times New Roman" w:cs="Times New Roman"/>
          <w:sz w:val="24"/>
          <w:vertAlign w:val="superscript"/>
          <w:lang w:val="sv-SE"/>
        </w:rPr>
        <w:t>3</w:t>
      </w:r>
      <w:r w:rsidRPr="00BD0D38">
        <w:rPr>
          <w:rFonts w:ascii="Times New Roman" w:hAnsi="Times New Roman" w:cs="Times New Roman"/>
          <w:sz w:val="24"/>
          <w:lang w:val="sv-SE"/>
        </w:rPr>
        <w:t>, I A Dewi Kumala Ratih</w:t>
      </w:r>
      <w:r w:rsidR="00A9371B" w:rsidRPr="00A9371B">
        <w:rPr>
          <w:rFonts w:ascii="Times New Roman" w:hAnsi="Times New Roman" w:cs="Times New Roman"/>
          <w:sz w:val="24"/>
          <w:vertAlign w:val="superscript"/>
          <w:lang w:val="sv-SE"/>
        </w:rPr>
        <w:t>4</w:t>
      </w:r>
    </w:p>
    <w:p w14:paraId="726066F1" w14:textId="77777777" w:rsidR="00A608C8" w:rsidRPr="00BD0D38" w:rsidRDefault="00A608C8" w:rsidP="00BD0D38">
      <w:pPr>
        <w:tabs>
          <w:tab w:val="left" w:pos="1390"/>
        </w:tabs>
        <w:jc w:val="center"/>
        <w:rPr>
          <w:rFonts w:ascii="Times New Roman" w:hAnsi="Times New Roman" w:cs="Times New Roman"/>
          <w:sz w:val="24"/>
          <w:lang w:val="sv-SE"/>
        </w:rPr>
      </w:pPr>
      <w:r w:rsidRPr="00BD0D38">
        <w:rPr>
          <w:rFonts w:ascii="Times New Roman" w:hAnsi="Times New Roman" w:cs="Times New Roman"/>
          <w:sz w:val="24"/>
          <w:lang w:val="sv-SE"/>
        </w:rPr>
        <w:t>Dental Health Department of Denpasar Ministry of Health Polytechnic</w:t>
      </w:r>
    </w:p>
    <w:p w14:paraId="775A1BCA" w14:textId="77777777" w:rsidR="00A608C8" w:rsidRPr="00BD0D38" w:rsidRDefault="00A608C8" w:rsidP="00BD0D38">
      <w:pPr>
        <w:tabs>
          <w:tab w:val="left" w:pos="1390"/>
        </w:tabs>
        <w:jc w:val="center"/>
        <w:rPr>
          <w:rFonts w:ascii="Times New Roman" w:hAnsi="Times New Roman" w:cs="Times New Roman"/>
          <w:sz w:val="24"/>
          <w:lang w:val="sv-SE"/>
        </w:rPr>
      </w:pPr>
      <w:r w:rsidRPr="00BD0D38">
        <w:rPr>
          <w:rFonts w:ascii="Times New Roman" w:hAnsi="Times New Roman" w:cs="Times New Roman"/>
          <w:sz w:val="24"/>
          <w:lang w:val="sv-SE"/>
        </w:rPr>
        <w:t>Corresponding author:sagunggungputri@yahoo.co.id</w:t>
      </w:r>
    </w:p>
    <w:p w14:paraId="18D48C8D" w14:textId="73AD07DD"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Abstract. Dental caries is still a problem in Indonesia, one of the causes is behavior, behavior can be changed by increasing knowledge and knowledge is usually improved by promotion. In conducting promotions, media is needed, one of the health promotion media is leaflets, leaflets in the form of leaflets containing information, promotions, can be carried, and contain correspondent numbers.  The purpose of this study was to determine the increase in knowledge of dental caries before and after counseling using leaflet media at visitors to Puskesmas I Abiansemal Badung Regency in 2023. This type is descriptive research. The number of respondents was 67 visitors, the research was conducted in April. Data collection methods are through questionnaires (pre-test) and (post-test) which are then analyzed univariate. The results showed that the level of knowledge of most before counseling with failed categories as much as (26.87%). But after being given counseling it increased, namely all with very good categories as many as 67 people (100%). The average knowledge of dental clinic visitors about dental caries before counseling was 53.58 including the category of less and after counseling was 93.88 including the category of very good, the increase in the average knowledge of dental clinic visitors before and after counseling increased by 40.3. The conclusion from the results obtained can be drawn that counseling using leaflets is effective for increasing dental caries knowledge in dental clinic visitors.</w:t>
      </w:r>
    </w:p>
    <w:p w14:paraId="6B8159BE" w14:textId="77777777"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Keywords: Knowledge, dental caries, Counseling, Leaflet, health center</w:t>
      </w:r>
    </w:p>
    <w:p w14:paraId="5C5CBAE5" w14:textId="77777777" w:rsidR="00A608C8" w:rsidRPr="00BD0D38" w:rsidRDefault="00A608C8" w:rsidP="00BD0D38">
      <w:pPr>
        <w:tabs>
          <w:tab w:val="left" w:pos="1390"/>
        </w:tabs>
        <w:jc w:val="both"/>
        <w:rPr>
          <w:rFonts w:ascii="Times New Roman" w:hAnsi="Times New Roman" w:cs="Times New Roman"/>
          <w:b/>
          <w:bCs/>
          <w:sz w:val="24"/>
          <w:lang w:val="sv-SE"/>
        </w:rPr>
      </w:pPr>
      <w:r w:rsidRPr="00BD0D38">
        <w:rPr>
          <w:rFonts w:ascii="Times New Roman" w:hAnsi="Times New Roman" w:cs="Times New Roman"/>
          <w:b/>
          <w:bCs/>
          <w:sz w:val="24"/>
          <w:lang w:val="sv-SE"/>
        </w:rPr>
        <w:t>INTRODUSE</w:t>
      </w:r>
    </w:p>
    <w:p w14:paraId="6C7ABA2E" w14:textId="77777777"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 xml:space="preserve">Teeth and mouth are one part of the body that must receive special attention because these parts can affect a person's health condition. Dental health is an integral part of public health, so it is necessary to improve the ability in accordance with the development of health in general (Sariningsih, 2012). One of the causes of oral health problems in the community is behavioral factors or attitudes that ignore dental and oral hygiene (Taringan, 2013). Based on data from the World Health Organization (WHO) in 2018 the prevalence of dental caries in children was 60-90%. while the prevalence of dental caries according </w:t>
      </w:r>
      <w:r w:rsidRPr="00BD0D38">
        <w:rPr>
          <w:rFonts w:ascii="Times New Roman" w:hAnsi="Times New Roman" w:cs="Times New Roman"/>
          <w:sz w:val="24"/>
          <w:lang w:val="sv-SE"/>
        </w:rPr>
        <w:lastRenderedPageBreak/>
        <w:t>to Riskesdas in 2018 was 93%. This shows that parents' awareness of oral health is still lacking (WHO, 2018; (Al-Qahtani et al., 2020).</w:t>
      </w:r>
    </w:p>
    <w:p w14:paraId="3B45727E" w14:textId="77777777"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Based on Riskesdas data in 2018, on average, 45.3% of Indonesians experience oral health problems in the form of broken teeth, cavities, and pain. A significant increase in oral problems occurred in children aged 5-9 years (Riskesdas, 2018a).</w:t>
      </w:r>
    </w:p>
    <w:p w14:paraId="3286CCA9" w14:textId="77777777"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The data also showed that in Bali, 41.06% experienced broken teeth, cavities, and pain. In children aged 5-9 years in Bali, 51.7% had broken teeth, cavities, and pain. In general, children are too lazy to brush their teeth, therefore children still need people to brush their teeth. Brushing teeth is one of the commonly known ways for people to maintain oral hygiene (Riskesdas, 2018b).</w:t>
      </w:r>
    </w:p>
    <w:p w14:paraId="1C1AE071" w14:textId="78662DBB"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Leaflet is a promotional tool printed on art paper or art carton paper that has two or more folds. The appearance of the leaflet is attractive with illustrations and the language used is short, simple, and easy to understand (Roza, 2012), (Barik et al., 2019).</w:t>
      </w:r>
    </w:p>
    <w:p w14:paraId="4F9E19B1" w14:textId="77777777"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Health promotion with lectures accompanied by leaflet media is considered more effective in increasing knowledge than just lectures.   Leaflet media is considered effective because the lecture method in delivering detailed messages is easily forgotten after a while, with the presence of visual aids, namely leaflet media, knowledge to the brain is the eye (75%-87%), with leaflet media as a visual aid, the absorption of information will be better (Jauharie, 2016).(Putri et al., 2021)(Manullang &amp; Rosalina, 2021).</w:t>
      </w:r>
    </w:p>
    <w:p w14:paraId="1386A34E" w14:textId="4C9CFCC5" w:rsidR="00A608C8" w:rsidRPr="00BD0D38" w:rsidRDefault="00A608C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Based on the experience of researchers during fieldwork practice at Puskesmas I Abiansemal, counseling on dental health by lecturing to puskesmas visitors who are waiting for the queue is less effective, so that activities that make researchers want to know the increase in knowledge of people visiting the puskesmas regarding the prevention of dental caries using leaflet media.</w:t>
      </w:r>
    </w:p>
    <w:p w14:paraId="60C00407" w14:textId="77777777" w:rsidR="008E7E5D" w:rsidRPr="00BD0D38" w:rsidRDefault="008E7E5D" w:rsidP="00BD0D38">
      <w:pPr>
        <w:tabs>
          <w:tab w:val="left" w:pos="1390"/>
        </w:tabs>
        <w:jc w:val="both"/>
        <w:rPr>
          <w:rFonts w:ascii="Times New Roman" w:hAnsi="Times New Roman" w:cs="Times New Roman"/>
          <w:b/>
          <w:bCs/>
          <w:sz w:val="24"/>
          <w:lang w:val="sv-SE"/>
        </w:rPr>
      </w:pPr>
      <w:r w:rsidRPr="00BD0D38">
        <w:rPr>
          <w:rFonts w:ascii="Times New Roman" w:hAnsi="Times New Roman" w:cs="Times New Roman"/>
          <w:b/>
          <w:bCs/>
          <w:sz w:val="24"/>
          <w:lang w:val="sv-SE"/>
        </w:rPr>
        <w:t>Methods</w:t>
      </w:r>
    </w:p>
    <w:p w14:paraId="41676147" w14:textId="77777777" w:rsidR="008E7E5D" w:rsidRPr="00BD0D38" w:rsidRDefault="008E7E5D"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The purpose of this study was to determine the increase in knowledge about dental caries after counseling using leaflet media at visitors to Puskesmas I Abiansemal Badung Regency in 2023. This study is a descriptive study with a survey design. Respondents taken in this study were 67 dental clinic visitors. The type of data collected in this study is primary data, namely the results of answering questions about dental caries before and after using a questionnaire question sheet and secondary data, namely the list of names of visitors to Puskesmas I Abiansemal.  The data collection method is through questionnaires (pre-test) and (post-test).</w:t>
      </w:r>
    </w:p>
    <w:p w14:paraId="19793F78" w14:textId="77777777" w:rsidR="008E7E5D" w:rsidRPr="00BD0D38" w:rsidRDefault="008E7E5D" w:rsidP="00BD0D38">
      <w:pPr>
        <w:tabs>
          <w:tab w:val="left" w:pos="1390"/>
        </w:tabs>
        <w:jc w:val="both"/>
        <w:rPr>
          <w:rFonts w:ascii="Times New Roman" w:hAnsi="Times New Roman" w:cs="Times New Roman"/>
          <w:b/>
          <w:bCs/>
          <w:sz w:val="24"/>
          <w:lang w:val="sv-SE"/>
        </w:rPr>
      </w:pPr>
      <w:r w:rsidRPr="00BD0D38">
        <w:rPr>
          <w:rFonts w:ascii="Times New Roman" w:hAnsi="Times New Roman" w:cs="Times New Roman"/>
          <w:b/>
          <w:bCs/>
          <w:sz w:val="24"/>
          <w:lang w:val="sv-SE"/>
        </w:rPr>
        <w:t xml:space="preserve">Results </w:t>
      </w:r>
    </w:p>
    <w:p w14:paraId="035FCE55" w14:textId="701EE39C" w:rsidR="008E7E5D" w:rsidRPr="00BD0D38" w:rsidRDefault="008E7E5D"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lastRenderedPageBreak/>
        <w:t>Based on the results of research on dental clinic visitors totaling 67 people at Puskesmas I Abiansemal in 2023, several characteristics of the research subjects can be presented as below</w:t>
      </w:r>
    </w:p>
    <w:p w14:paraId="536C07EB" w14:textId="77777777" w:rsidR="005D1532" w:rsidRDefault="005D1532" w:rsidP="008E7E5D">
      <w:pPr>
        <w:pStyle w:val="ListParagraph"/>
        <w:ind w:left="851" w:firstLine="0"/>
        <w:jc w:val="center"/>
        <w:rPr>
          <w:rFonts w:ascii="Arial Narrow" w:hAnsi="Arial Narrow" w:cs="Arial"/>
          <w:b/>
          <w:bCs/>
          <w:sz w:val="24"/>
          <w:szCs w:val="24"/>
          <w:lang w:val="sv-SE" w:eastAsia="id-ID"/>
        </w:rPr>
      </w:pPr>
    </w:p>
    <w:p w14:paraId="172AD223" w14:textId="66BBF327" w:rsidR="008E7E5D" w:rsidRPr="003A554E" w:rsidRDefault="008E7E5D" w:rsidP="008E7E5D">
      <w:pPr>
        <w:pStyle w:val="ListParagraph"/>
        <w:ind w:left="851" w:firstLine="0"/>
        <w:jc w:val="center"/>
        <w:rPr>
          <w:rFonts w:ascii="Arial Narrow" w:hAnsi="Arial Narrow" w:cs="Arial"/>
          <w:b/>
          <w:bCs/>
          <w:sz w:val="24"/>
          <w:szCs w:val="24"/>
          <w:lang w:val="sv-SE" w:eastAsia="id-ID"/>
        </w:rPr>
      </w:pPr>
      <w:r w:rsidRPr="003A554E">
        <w:rPr>
          <w:rFonts w:ascii="Arial Narrow" w:hAnsi="Arial Narrow" w:cs="Arial"/>
          <w:b/>
          <w:bCs/>
          <w:sz w:val="24"/>
          <w:szCs w:val="24"/>
          <w:lang w:val="sv-SE" w:eastAsia="id-ID"/>
        </w:rPr>
        <w:t>Tab</w:t>
      </w:r>
      <w:r>
        <w:rPr>
          <w:rFonts w:ascii="Arial Narrow" w:hAnsi="Arial Narrow" w:cs="Arial"/>
          <w:b/>
          <w:bCs/>
          <w:sz w:val="24"/>
          <w:szCs w:val="24"/>
          <w:lang w:val="sv-SE" w:eastAsia="id-ID"/>
        </w:rPr>
        <w:t>le</w:t>
      </w:r>
      <w:r w:rsidRPr="003A554E">
        <w:rPr>
          <w:rFonts w:ascii="Arial Narrow" w:hAnsi="Arial Narrow" w:cs="Arial"/>
          <w:b/>
          <w:bCs/>
          <w:sz w:val="24"/>
          <w:szCs w:val="24"/>
          <w:lang w:val="sv-SE" w:eastAsia="id-ID"/>
        </w:rPr>
        <w:t xml:space="preserve"> 1</w:t>
      </w:r>
    </w:p>
    <w:p w14:paraId="33B0EBC9" w14:textId="43BE37D2" w:rsidR="008E7E5D" w:rsidRPr="008E7E5D" w:rsidRDefault="008E7E5D" w:rsidP="008E7E5D">
      <w:pPr>
        <w:tabs>
          <w:tab w:val="left" w:pos="1390"/>
        </w:tabs>
        <w:jc w:val="center"/>
        <w:rPr>
          <w:rFonts w:ascii="Arial Narrow" w:hAnsi="Arial Narrow" w:cs="Arial"/>
          <w:b/>
          <w:bCs/>
          <w:sz w:val="24"/>
          <w:lang w:val="sv-SE"/>
        </w:rPr>
      </w:pPr>
      <w:r w:rsidRPr="008E7E5D">
        <w:rPr>
          <w:rFonts w:ascii="Arial Narrow" w:hAnsi="Arial Narrow" w:cs="Arial"/>
          <w:b/>
          <w:bCs/>
          <w:sz w:val="24"/>
          <w:lang w:val="sv-SE"/>
        </w:rPr>
        <w:t>Frequency Distribution of Respondent Characteristics by Gender and Age Group</w:t>
      </w:r>
    </w:p>
    <w:tbl>
      <w:tblPr>
        <w:tblStyle w:val="TableGrid"/>
        <w:tblpPr w:leftFromText="180" w:rightFromText="180" w:vertAnchor="text" w:horzAnchor="margin" w:tblpXSpec="right" w:tblpY="41"/>
        <w:tblW w:w="7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198"/>
        <w:gridCol w:w="1890"/>
      </w:tblGrid>
      <w:tr w:rsidR="008E7E5D" w:rsidRPr="003A554E" w14:paraId="6A17570F" w14:textId="77777777" w:rsidTr="00205A3D">
        <w:tc>
          <w:tcPr>
            <w:tcW w:w="3107" w:type="dxa"/>
            <w:tcBorders>
              <w:top w:val="single" w:sz="4" w:space="0" w:color="auto"/>
              <w:bottom w:val="single" w:sz="4" w:space="0" w:color="auto"/>
            </w:tcBorders>
          </w:tcPr>
          <w:p w14:paraId="1813BF9F" w14:textId="19645D13"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Pr>
                <w:rFonts w:ascii="Arial Narrow" w:hAnsi="Arial Narrow" w:cs="Arial"/>
                <w:noProof/>
                <w:sz w:val="24"/>
                <w:szCs w:val="24"/>
                <w:lang w:val="en-US"/>
              </w:rPr>
              <w:t>Gender</w:t>
            </w:r>
          </w:p>
        </w:tc>
        <w:tc>
          <w:tcPr>
            <w:tcW w:w="2198" w:type="dxa"/>
            <w:tcBorders>
              <w:top w:val="single" w:sz="4" w:space="0" w:color="auto"/>
              <w:bottom w:val="single" w:sz="4" w:space="0" w:color="auto"/>
            </w:tcBorders>
          </w:tcPr>
          <w:p w14:paraId="48AAE3DE" w14:textId="3818680E"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sidRPr="003A554E">
              <w:rPr>
                <w:rFonts w:ascii="Arial Narrow" w:hAnsi="Arial Narrow" w:cs="Arial"/>
                <w:noProof/>
                <w:sz w:val="24"/>
                <w:szCs w:val="24"/>
                <w:lang w:val="en-US"/>
              </w:rPr>
              <w:t>Fre</w:t>
            </w:r>
            <w:r>
              <w:rPr>
                <w:rFonts w:ascii="Arial Narrow" w:hAnsi="Arial Narrow" w:cs="Arial"/>
                <w:noProof/>
                <w:sz w:val="24"/>
                <w:szCs w:val="24"/>
                <w:lang w:val="en-US"/>
              </w:rPr>
              <w:t>quency</w:t>
            </w:r>
          </w:p>
        </w:tc>
        <w:tc>
          <w:tcPr>
            <w:tcW w:w="1890" w:type="dxa"/>
            <w:tcBorders>
              <w:top w:val="single" w:sz="4" w:space="0" w:color="auto"/>
              <w:bottom w:val="single" w:sz="4" w:space="0" w:color="auto"/>
            </w:tcBorders>
          </w:tcPr>
          <w:p w14:paraId="5EF4A2D3" w14:textId="10717C63" w:rsidR="008E7E5D" w:rsidRPr="003A554E" w:rsidRDefault="008E7E5D" w:rsidP="00205A3D">
            <w:pPr>
              <w:pStyle w:val="ListParagraph"/>
              <w:spacing w:line="360" w:lineRule="auto"/>
              <w:ind w:left="0" w:firstLine="0"/>
              <w:rPr>
                <w:rFonts w:ascii="Arial Narrow" w:hAnsi="Arial Narrow" w:cs="Arial"/>
                <w:noProof/>
                <w:sz w:val="24"/>
                <w:szCs w:val="24"/>
                <w:lang w:val="en-US"/>
              </w:rPr>
            </w:pPr>
            <w:r w:rsidRPr="003A554E">
              <w:rPr>
                <w:rFonts w:ascii="Arial Narrow" w:hAnsi="Arial Narrow" w:cs="Arial"/>
                <w:noProof/>
                <w:sz w:val="24"/>
                <w:szCs w:val="24"/>
                <w:lang w:val="en-US"/>
              </w:rPr>
              <w:t xml:space="preserve">    Persenta</w:t>
            </w:r>
            <w:r>
              <w:rPr>
                <w:rFonts w:ascii="Arial Narrow" w:hAnsi="Arial Narrow" w:cs="Arial"/>
                <w:noProof/>
                <w:sz w:val="24"/>
                <w:szCs w:val="24"/>
                <w:lang w:val="en-US"/>
              </w:rPr>
              <w:t>ge</w:t>
            </w:r>
            <w:r w:rsidRPr="003A554E">
              <w:rPr>
                <w:rFonts w:ascii="Arial Narrow" w:hAnsi="Arial Narrow" w:cs="Arial"/>
                <w:noProof/>
                <w:sz w:val="24"/>
                <w:szCs w:val="24"/>
                <w:lang w:val="en-US"/>
              </w:rPr>
              <w:t xml:space="preserve"> (%)</w:t>
            </w:r>
          </w:p>
        </w:tc>
      </w:tr>
      <w:tr w:rsidR="008E7E5D" w:rsidRPr="003A554E" w14:paraId="12A2AB14" w14:textId="77777777" w:rsidTr="00205A3D">
        <w:tc>
          <w:tcPr>
            <w:tcW w:w="3107" w:type="dxa"/>
            <w:tcBorders>
              <w:top w:val="single" w:sz="4" w:space="0" w:color="auto"/>
            </w:tcBorders>
          </w:tcPr>
          <w:p w14:paraId="1C73D58F" w14:textId="662E346D"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Pr>
                <w:rFonts w:ascii="Arial Narrow" w:hAnsi="Arial Narrow" w:cs="Arial"/>
                <w:noProof/>
                <w:sz w:val="24"/>
                <w:szCs w:val="24"/>
                <w:lang w:val="en-US"/>
              </w:rPr>
              <w:t>Female</w:t>
            </w:r>
          </w:p>
        </w:tc>
        <w:tc>
          <w:tcPr>
            <w:tcW w:w="2198" w:type="dxa"/>
            <w:tcBorders>
              <w:top w:val="single" w:sz="4" w:space="0" w:color="auto"/>
            </w:tcBorders>
          </w:tcPr>
          <w:p w14:paraId="22D49323" w14:textId="77777777"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sidRPr="003A554E">
              <w:rPr>
                <w:rFonts w:ascii="Arial Narrow" w:hAnsi="Arial Narrow" w:cs="Arial"/>
                <w:noProof/>
                <w:sz w:val="24"/>
                <w:szCs w:val="24"/>
                <w:lang w:val="en-US"/>
              </w:rPr>
              <w:t>49</w:t>
            </w:r>
          </w:p>
        </w:tc>
        <w:tc>
          <w:tcPr>
            <w:tcW w:w="1890" w:type="dxa"/>
            <w:tcBorders>
              <w:top w:val="single" w:sz="4" w:space="0" w:color="auto"/>
            </w:tcBorders>
          </w:tcPr>
          <w:p w14:paraId="501D646E" w14:textId="77777777"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sidRPr="003A554E">
              <w:rPr>
                <w:rFonts w:ascii="Arial Narrow" w:hAnsi="Arial Narrow" w:cs="Arial"/>
                <w:noProof/>
                <w:sz w:val="24"/>
                <w:szCs w:val="24"/>
                <w:lang w:val="en-US"/>
              </w:rPr>
              <w:t>73,13</w:t>
            </w:r>
          </w:p>
        </w:tc>
      </w:tr>
      <w:tr w:rsidR="008E7E5D" w:rsidRPr="003A554E" w14:paraId="1240B756" w14:textId="77777777" w:rsidTr="00205A3D">
        <w:tc>
          <w:tcPr>
            <w:tcW w:w="3107" w:type="dxa"/>
            <w:tcBorders>
              <w:bottom w:val="single" w:sz="4" w:space="0" w:color="auto"/>
            </w:tcBorders>
          </w:tcPr>
          <w:p w14:paraId="0589CCF3" w14:textId="2FB3ABED"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Pr>
                <w:rFonts w:ascii="Arial Narrow" w:hAnsi="Arial Narrow" w:cs="Arial"/>
                <w:noProof/>
                <w:sz w:val="24"/>
                <w:szCs w:val="24"/>
                <w:lang w:val="en-US"/>
              </w:rPr>
              <w:t>Male</w:t>
            </w:r>
          </w:p>
        </w:tc>
        <w:tc>
          <w:tcPr>
            <w:tcW w:w="2198" w:type="dxa"/>
            <w:tcBorders>
              <w:bottom w:val="single" w:sz="4" w:space="0" w:color="auto"/>
            </w:tcBorders>
          </w:tcPr>
          <w:p w14:paraId="12883FFA" w14:textId="77777777"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sidRPr="003A554E">
              <w:rPr>
                <w:rFonts w:ascii="Arial Narrow" w:hAnsi="Arial Narrow" w:cs="Arial"/>
                <w:noProof/>
                <w:sz w:val="24"/>
                <w:szCs w:val="24"/>
                <w:lang w:val="en-US"/>
              </w:rPr>
              <w:t>18</w:t>
            </w:r>
          </w:p>
        </w:tc>
        <w:tc>
          <w:tcPr>
            <w:tcW w:w="1890" w:type="dxa"/>
            <w:tcBorders>
              <w:bottom w:val="single" w:sz="4" w:space="0" w:color="auto"/>
            </w:tcBorders>
          </w:tcPr>
          <w:p w14:paraId="100B080E" w14:textId="77777777" w:rsidR="008E7E5D" w:rsidRPr="003A554E" w:rsidRDefault="008E7E5D" w:rsidP="00205A3D">
            <w:pPr>
              <w:pStyle w:val="ListParagraph"/>
              <w:spacing w:line="360" w:lineRule="auto"/>
              <w:ind w:left="0" w:firstLine="0"/>
              <w:jc w:val="center"/>
              <w:rPr>
                <w:rFonts w:ascii="Arial Narrow" w:hAnsi="Arial Narrow" w:cs="Arial"/>
                <w:noProof/>
                <w:sz w:val="24"/>
                <w:szCs w:val="24"/>
                <w:lang w:val="en-US"/>
              </w:rPr>
            </w:pPr>
            <w:r w:rsidRPr="003A554E">
              <w:rPr>
                <w:rFonts w:ascii="Arial Narrow" w:hAnsi="Arial Narrow" w:cs="Arial"/>
                <w:noProof/>
                <w:sz w:val="24"/>
                <w:szCs w:val="24"/>
                <w:lang w:val="en-US"/>
              </w:rPr>
              <w:t>26,87</w:t>
            </w:r>
          </w:p>
        </w:tc>
      </w:tr>
    </w:tbl>
    <w:p w14:paraId="57C62533" w14:textId="77777777" w:rsidR="008E7E5D" w:rsidRPr="003A554E" w:rsidRDefault="008E7E5D" w:rsidP="008E7E5D">
      <w:pPr>
        <w:pStyle w:val="BodyText"/>
        <w:spacing w:line="360" w:lineRule="auto"/>
        <w:contextualSpacing/>
        <w:jc w:val="both"/>
        <w:rPr>
          <w:rFonts w:ascii="Arial Narrow" w:hAnsi="Arial Narrow" w:cs="Arial"/>
          <w:bCs/>
          <w:lang w:val="id-ID"/>
        </w:rPr>
      </w:pPr>
    </w:p>
    <w:p w14:paraId="627E024B" w14:textId="6E5B4863" w:rsidR="008E7E5D" w:rsidRPr="00BD0D38" w:rsidRDefault="008E7E5D"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Table 1. Shows that the number of respondents with the most gender is female as many as 49 people (73.13%) and the most age group is age (22-29) as many as 25 people (37.31%) and the least age group is age (38-45) as many as 6 people (8.95%).</w:t>
      </w:r>
    </w:p>
    <w:p w14:paraId="7AF72DA2" w14:textId="77777777" w:rsidR="008E7E5D" w:rsidRDefault="008E7E5D" w:rsidP="008E7E5D">
      <w:pPr>
        <w:tabs>
          <w:tab w:val="left" w:pos="1390"/>
        </w:tabs>
        <w:rPr>
          <w:rFonts w:ascii="Arial Narrow" w:hAnsi="Arial Narrow" w:cs="Arial"/>
          <w:sz w:val="24"/>
          <w:lang w:val="sv-SE"/>
        </w:rPr>
      </w:pPr>
    </w:p>
    <w:p w14:paraId="2C5F1E73" w14:textId="77777777" w:rsidR="008E7E5D" w:rsidRPr="008E7E5D" w:rsidRDefault="008E7E5D" w:rsidP="008E7E5D">
      <w:pPr>
        <w:pStyle w:val="BodyText"/>
        <w:contextualSpacing/>
        <w:jc w:val="center"/>
        <w:rPr>
          <w:rFonts w:ascii="Arial Narrow" w:hAnsi="Arial Narrow" w:cs="Arial"/>
          <w:b/>
          <w:lang w:val="sv-SE"/>
        </w:rPr>
      </w:pPr>
      <w:r w:rsidRPr="008E7E5D">
        <w:rPr>
          <w:rFonts w:ascii="Arial Narrow" w:hAnsi="Arial Narrow" w:cs="Arial"/>
          <w:b/>
          <w:lang w:val="sv-SE"/>
        </w:rPr>
        <w:t>Table 2</w:t>
      </w:r>
    </w:p>
    <w:p w14:paraId="7CD58BE6" w14:textId="581FEE5A" w:rsidR="008E7E5D" w:rsidRPr="008E7E5D" w:rsidRDefault="008E7E5D" w:rsidP="008E7E5D">
      <w:pPr>
        <w:pStyle w:val="BodyText"/>
        <w:contextualSpacing/>
        <w:jc w:val="center"/>
        <w:rPr>
          <w:rFonts w:ascii="Arial Narrow" w:hAnsi="Arial Narrow" w:cs="Arial"/>
          <w:b/>
          <w:lang w:val="id-ID"/>
        </w:rPr>
      </w:pPr>
      <w:r w:rsidRPr="008E7E5D">
        <w:rPr>
          <w:rFonts w:ascii="Arial Narrow" w:hAnsi="Arial Narrow" w:cs="Arial"/>
          <w:b/>
          <w:lang w:val="sv-SE"/>
        </w:rPr>
        <w:t>Level of Knowledge About Dental Caries Before and After Counseling Using Leaflet Media</w:t>
      </w:r>
    </w:p>
    <w:tbl>
      <w:tblPr>
        <w:tblStyle w:val="TableGrid"/>
        <w:tblpPr w:leftFromText="180" w:rightFromText="180" w:vertAnchor="text" w:horzAnchor="margin" w:tblpXSpec="center" w:tblpY="27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46"/>
        <w:gridCol w:w="1380"/>
        <w:gridCol w:w="1204"/>
        <w:gridCol w:w="1381"/>
        <w:gridCol w:w="1144"/>
      </w:tblGrid>
      <w:tr w:rsidR="008E7E5D" w:rsidRPr="003A554E" w14:paraId="0EBCE438" w14:textId="77777777" w:rsidTr="00205A3D">
        <w:tc>
          <w:tcPr>
            <w:tcW w:w="535" w:type="dxa"/>
            <w:tcBorders>
              <w:top w:val="single" w:sz="4" w:space="0" w:color="auto"/>
              <w:bottom w:val="single" w:sz="4" w:space="0" w:color="auto"/>
            </w:tcBorders>
          </w:tcPr>
          <w:p w14:paraId="2764F483" w14:textId="77777777" w:rsidR="008E7E5D" w:rsidRPr="003A554E" w:rsidRDefault="008E7E5D" w:rsidP="00205A3D">
            <w:pPr>
              <w:pStyle w:val="ListParagraph"/>
              <w:ind w:left="0" w:firstLine="0"/>
              <w:rPr>
                <w:rFonts w:ascii="Arial Narrow" w:hAnsi="Arial Narrow" w:cs="Arial"/>
                <w:sz w:val="24"/>
                <w:szCs w:val="24"/>
                <w:lang w:val="id-ID" w:eastAsia="id-ID"/>
              </w:rPr>
            </w:pPr>
            <w:r w:rsidRPr="003A554E">
              <w:rPr>
                <w:rFonts w:ascii="Arial Narrow" w:hAnsi="Arial Narrow" w:cs="Arial"/>
                <w:sz w:val="24"/>
                <w:szCs w:val="24"/>
                <w:lang w:val="id-ID" w:eastAsia="id-ID"/>
              </w:rPr>
              <w:t xml:space="preserve">No </w:t>
            </w:r>
          </w:p>
        </w:tc>
        <w:tc>
          <w:tcPr>
            <w:tcW w:w="1967" w:type="dxa"/>
            <w:tcBorders>
              <w:top w:val="single" w:sz="4" w:space="0" w:color="auto"/>
              <w:bottom w:val="single" w:sz="4" w:space="0" w:color="auto"/>
            </w:tcBorders>
          </w:tcPr>
          <w:p w14:paraId="6705061A" w14:textId="77777777" w:rsidR="008E7E5D" w:rsidRPr="003A554E" w:rsidRDefault="008E7E5D" w:rsidP="00205A3D">
            <w:pPr>
              <w:pStyle w:val="ListParagraph"/>
              <w:ind w:left="0" w:firstLine="0"/>
              <w:rPr>
                <w:rFonts w:ascii="Arial Narrow" w:hAnsi="Arial Narrow" w:cs="Arial"/>
                <w:b/>
                <w:bCs/>
                <w:sz w:val="24"/>
                <w:szCs w:val="24"/>
                <w:lang w:val="id-ID" w:eastAsia="id-ID"/>
              </w:rPr>
            </w:pPr>
          </w:p>
        </w:tc>
        <w:tc>
          <w:tcPr>
            <w:tcW w:w="2605" w:type="dxa"/>
            <w:gridSpan w:val="2"/>
            <w:tcBorders>
              <w:top w:val="single" w:sz="4" w:space="0" w:color="auto"/>
              <w:bottom w:val="single" w:sz="4" w:space="0" w:color="auto"/>
            </w:tcBorders>
          </w:tcPr>
          <w:p w14:paraId="46C7FC58" w14:textId="797114DA" w:rsidR="008E7E5D" w:rsidRPr="008E7E5D" w:rsidRDefault="008E7E5D" w:rsidP="00205A3D">
            <w:pPr>
              <w:pStyle w:val="ListParagraph"/>
              <w:ind w:left="0" w:firstLine="0"/>
              <w:jc w:val="center"/>
              <w:rPr>
                <w:rFonts w:ascii="Arial Narrow" w:hAnsi="Arial Narrow" w:cs="Arial"/>
                <w:sz w:val="24"/>
                <w:szCs w:val="24"/>
                <w:lang w:val="en-US" w:eastAsia="id-ID"/>
              </w:rPr>
            </w:pPr>
            <w:r>
              <w:rPr>
                <w:rFonts w:ascii="Arial Narrow" w:hAnsi="Arial Narrow" w:cs="Arial"/>
                <w:sz w:val="24"/>
                <w:szCs w:val="24"/>
                <w:lang w:val="en-US" w:eastAsia="id-ID"/>
              </w:rPr>
              <w:t>Before Counseling</w:t>
            </w:r>
          </w:p>
        </w:tc>
        <w:tc>
          <w:tcPr>
            <w:tcW w:w="2549" w:type="dxa"/>
            <w:gridSpan w:val="2"/>
            <w:tcBorders>
              <w:top w:val="single" w:sz="4" w:space="0" w:color="auto"/>
              <w:bottom w:val="single" w:sz="4" w:space="0" w:color="auto"/>
            </w:tcBorders>
          </w:tcPr>
          <w:p w14:paraId="0128A133" w14:textId="62F25927" w:rsidR="008E7E5D" w:rsidRPr="008E7E5D" w:rsidRDefault="008E7E5D" w:rsidP="008E7E5D">
            <w:pPr>
              <w:widowControl/>
              <w:tabs>
                <w:tab w:val="left" w:pos="1390"/>
              </w:tabs>
              <w:autoSpaceDE/>
              <w:autoSpaceDN/>
              <w:spacing w:after="160" w:line="259" w:lineRule="auto"/>
              <w:rPr>
                <w:rFonts w:ascii="Arial Narrow" w:hAnsi="Arial Narrow" w:cs="Arial"/>
                <w:kern w:val="2"/>
                <w:sz w:val="24"/>
                <w:lang w:val="sv-SE"/>
                <w14:ligatures w14:val="standardContextual"/>
              </w:rPr>
            </w:pPr>
            <w:r w:rsidRPr="008E7E5D">
              <w:rPr>
                <w:rFonts w:ascii="Arial Narrow" w:hAnsi="Arial Narrow" w:cs="Arial"/>
                <w:sz w:val="24"/>
                <w:lang w:val="sv-SE"/>
              </w:rPr>
              <w:t>After Counseling</w:t>
            </w:r>
          </w:p>
        </w:tc>
      </w:tr>
      <w:tr w:rsidR="008E7E5D" w:rsidRPr="003A554E" w14:paraId="70B89EB3" w14:textId="77777777" w:rsidTr="00205A3D">
        <w:tc>
          <w:tcPr>
            <w:tcW w:w="535" w:type="dxa"/>
            <w:tcBorders>
              <w:top w:val="single" w:sz="4" w:space="0" w:color="auto"/>
              <w:bottom w:val="single" w:sz="4" w:space="0" w:color="auto"/>
            </w:tcBorders>
          </w:tcPr>
          <w:p w14:paraId="7F8BDEC8"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p>
        </w:tc>
        <w:tc>
          <w:tcPr>
            <w:tcW w:w="1967" w:type="dxa"/>
            <w:tcBorders>
              <w:top w:val="single" w:sz="4" w:space="0" w:color="auto"/>
              <w:bottom w:val="single" w:sz="4" w:space="0" w:color="auto"/>
            </w:tcBorders>
          </w:tcPr>
          <w:p w14:paraId="33EE8AF7" w14:textId="10D3363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8E7E5D">
              <w:rPr>
                <w:rFonts w:ascii="Arial Narrow" w:hAnsi="Arial Narrow" w:cs="Arial"/>
                <w:sz w:val="24"/>
                <w:lang w:val="sv-SE"/>
              </w:rPr>
              <w:t>Criteria</w:t>
            </w:r>
          </w:p>
        </w:tc>
        <w:tc>
          <w:tcPr>
            <w:tcW w:w="1392" w:type="dxa"/>
            <w:tcBorders>
              <w:top w:val="single" w:sz="4" w:space="0" w:color="auto"/>
              <w:bottom w:val="single" w:sz="4" w:space="0" w:color="auto"/>
            </w:tcBorders>
          </w:tcPr>
          <w:p w14:paraId="615601F7" w14:textId="1480DEFD"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8E7E5D">
              <w:rPr>
                <w:rFonts w:ascii="Arial Narrow" w:hAnsi="Arial Narrow" w:cs="Arial"/>
                <w:sz w:val="24"/>
                <w:lang w:val="sv-SE"/>
              </w:rPr>
              <w:t>Visitor</w:t>
            </w:r>
          </w:p>
        </w:tc>
        <w:tc>
          <w:tcPr>
            <w:tcW w:w="1213" w:type="dxa"/>
            <w:tcBorders>
              <w:top w:val="single" w:sz="4" w:space="0" w:color="auto"/>
              <w:bottom w:val="single" w:sz="4" w:space="0" w:color="auto"/>
            </w:tcBorders>
          </w:tcPr>
          <w:p w14:paraId="3B965193"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w:t>
            </w:r>
          </w:p>
        </w:tc>
        <w:tc>
          <w:tcPr>
            <w:tcW w:w="1393" w:type="dxa"/>
            <w:tcBorders>
              <w:top w:val="single" w:sz="4" w:space="0" w:color="auto"/>
              <w:bottom w:val="single" w:sz="4" w:space="0" w:color="auto"/>
            </w:tcBorders>
          </w:tcPr>
          <w:p w14:paraId="10C43D03" w14:textId="1FF943FF" w:rsidR="008E7E5D" w:rsidRPr="003A554E" w:rsidRDefault="005109AE" w:rsidP="00205A3D">
            <w:pPr>
              <w:pStyle w:val="ListParagraph"/>
              <w:spacing w:line="360" w:lineRule="auto"/>
              <w:ind w:left="0" w:firstLine="0"/>
              <w:jc w:val="center"/>
              <w:rPr>
                <w:rFonts w:ascii="Arial Narrow" w:hAnsi="Arial Narrow" w:cs="Arial"/>
                <w:sz w:val="24"/>
                <w:szCs w:val="24"/>
                <w:lang w:val="id-ID" w:eastAsia="id-ID"/>
              </w:rPr>
            </w:pPr>
            <w:r w:rsidRPr="008E7E5D">
              <w:rPr>
                <w:rFonts w:ascii="Arial Narrow" w:hAnsi="Arial Narrow" w:cs="Arial"/>
                <w:sz w:val="24"/>
                <w:lang w:val="sv-SE"/>
              </w:rPr>
              <w:t>Visitor</w:t>
            </w:r>
          </w:p>
        </w:tc>
        <w:tc>
          <w:tcPr>
            <w:tcW w:w="1156" w:type="dxa"/>
            <w:tcBorders>
              <w:top w:val="single" w:sz="4" w:space="0" w:color="auto"/>
              <w:bottom w:val="single" w:sz="4" w:space="0" w:color="auto"/>
            </w:tcBorders>
          </w:tcPr>
          <w:p w14:paraId="53654FF0"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w:t>
            </w:r>
          </w:p>
        </w:tc>
      </w:tr>
      <w:tr w:rsidR="008E7E5D" w:rsidRPr="003A554E" w14:paraId="0217D492" w14:textId="77777777" w:rsidTr="00205A3D">
        <w:tc>
          <w:tcPr>
            <w:tcW w:w="535" w:type="dxa"/>
            <w:tcBorders>
              <w:top w:val="single" w:sz="4" w:space="0" w:color="auto"/>
            </w:tcBorders>
          </w:tcPr>
          <w:p w14:paraId="75AD242C"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r w:rsidRPr="003A554E">
              <w:rPr>
                <w:rFonts w:ascii="Arial Narrow" w:hAnsi="Arial Narrow" w:cs="Arial"/>
                <w:sz w:val="24"/>
                <w:szCs w:val="24"/>
                <w:lang w:val="id-ID" w:eastAsia="id-ID"/>
              </w:rPr>
              <w:t>1</w:t>
            </w:r>
          </w:p>
        </w:tc>
        <w:tc>
          <w:tcPr>
            <w:tcW w:w="1967" w:type="dxa"/>
            <w:tcBorders>
              <w:top w:val="single" w:sz="4" w:space="0" w:color="auto"/>
            </w:tcBorders>
          </w:tcPr>
          <w:p w14:paraId="0E51A299" w14:textId="20A5690E" w:rsidR="008E7E5D" w:rsidRPr="003A554E" w:rsidRDefault="005109AE" w:rsidP="00205A3D">
            <w:pPr>
              <w:pStyle w:val="ListParagraph"/>
              <w:spacing w:line="360" w:lineRule="auto"/>
              <w:ind w:left="0" w:firstLine="0"/>
              <w:jc w:val="center"/>
              <w:rPr>
                <w:rFonts w:ascii="Arial Narrow" w:hAnsi="Arial Narrow" w:cs="Arial"/>
                <w:sz w:val="24"/>
                <w:szCs w:val="24"/>
                <w:lang w:val="id-ID" w:eastAsia="id-ID"/>
              </w:rPr>
            </w:pPr>
            <w:r w:rsidRPr="005109AE">
              <w:rPr>
                <w:rFonts w:ascii="Arial Narrow" w:hAnsi="Arial Narrow" w:cs="Arial"/>
                <w:sz w:val="24"/>
                <w:szCs w:val="24"/>
                <w:lang w:val="id-ID" w:eastAsia="id-ID"/>
              </w:rPr>
              <w:t>Very good</w:t>
            </w:r>
          </w:p>
        </w:tc>
        <w:tc>
          <w:tcPr>
            <w:tcW w:w="1392" w:type="dxa"/>
            <w:tcBorders>
              <w:top w:val="single" w:sz="4" w:space="0" w:color="auto"/>
            </w:tcBorders>
          </w:tcPr>
          <w:p w14:paraId="6CD78FBC" w14:textId="77777777" w:rsidR="008E7E5D" w:rsidRPr="003A554E" w:rsidRDefault="008E7E5D" w:rsidP="00205A3D">
            <w:pPr>
              <w:pStyle w:val="ListParagraph"/>
              <w:spacing w:line="360" w:lineRule="auto"/>
              <w:ind w:left="0" w:firstLine="225"/>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w:t>
            </w:r>
          </w:p>
        </w:tc>
        <w:tc>
          <w:tcPr>
            <w:tcW w:w="1213" w:type="dxa"/>
            <w:tcBorders>
              <w:top w:val="single" w:sz="4" w:space="0" w:color="auto"/>
            </w:tcBorders>
          </w:tcPr>
          <w:p w14:paraId="24B21C6E" w14:textId="77777777" w:rsidR="008E7E5D" w:rsidRPr="003A554E" w:rsidRDefault="008E7E5D" w:rsidP="00205A3D">
            <w:pPr>
              <w:pStyle w:val="ListParagraph"/>
              <w:spacing w:line="360" w:lineRule="auto"/>
              <w:ind w:left="0" w:firstLine="106"/>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1,49</w:t>
            </w:r>
          </w:p>
        </w:tc>
        <w:tc>
          <w:tcPr>
            <w:tcW w:w="1393" w:type="dxa"/>
            <w:tcBorders>
              <w:top w:val="single" w:sz="4" w:space="0" w:color="auto"/>
            </w:tcBorders>
          </w:tcPr>
          <w:p w14:paraId="5FF9689F"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67</w:t>
            </w:r>
          </w:p>
        </w:tc>
        <w:tc>
          <w:tcPr>
            <w:tcW w:w="1156" w:type="dxa"/>
            <w:tcBorders>
              <w:top w:val="single" w:sz="4" w:space="0" w:color="auto"/>
            </w:tcBorders>
          </w:tcPr>
          <w:p w14:paraId="7E2F9298"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100</w:t>
            </w:r>
          </w:p>
        </w:tc>
      </w:tr>
      <w:tr w:rsidR="008E7E5D" w:rsidRPr="003A554E" w14:paraId="5E7F10E7" w14:textId="77777777" w:rsidTr="00205A3D">
        <w:tc>
          <w:tcPr>
            <w:tcW w:w="535" w:type="dxa"/>
          </w:tcPr>
          <w:p w14:paraId="6742A88C"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r w:rsidRPr="003A554E">
              <w:rPr>
                <w:rFonts w:ascii="Arial Narrow" w:hAnsi="Arial Narrow" w:cs="Arial"/>
                <w:sz w:val="24"/>
                <w:szCs w:val="24"/>
                <w:lang w:val="id-ID" w:eastAsia="id-ID"/>
              </w:rPr>
              <w:t>2</w:t>
            </w:r>
          </w:p>
        </w:tc>
        <w:tc>
          <w:tcPr>
            <w:tcW w:w="1967" w:type="dxa"/>
          </w:tcPr>
          <w:p w14:paraId="0348F5F5" w14:textId="35EB3CEC" w:rsidR="008E7E5D" w:rsidRPr="003A554E" w:rsidRDefault="005109AE" w:rsidP="00205A3D">
            <w:pPr>
              <w:pStyle w:val="ListParagraph"/>
              <w:spacing w:line="360" w:lineRule="auto"/>
              <w:ind w:left="0" w:firstLine="0"/>
              <w:jc w:val="center"/>
              <w:rPr>
                <w:rFonts w:ascii="Arial Narrow" w:hAnsi="Arial Narrow" w:cs="Arial"/>
                <w:sz w:val="24"/>
                <w:szCs w:val="24"/>
                <w:lang w:val="id-ID" w:eastAsia="id-ID"/>
              </w:rPr>
            </w:pPr>
            <w:r w:rsidRPr="005109AE">
              <w:rPr>
                <w:rFonts w:ascii="Arial Narrow" w:hAnsi="Arial Narrow" w:cs="Arial"/>
                <w:sz w:val="24"/>
                <w:szCs w:val="24"/>
                <w:lang w:val="id-ID" w:eastAsia="id-ID"/>
              </w:rPr>
              <w:t>Good</w:t>
            </w:r>
          </w:p>
        </w:tc>
        <w:tc>
          <w:tcPr>
            <w:tcW w:w="1392" w:type="dxa"/>
          </w:tcPr>
          <w:p w14:paraId="21105C1F" w14:textId="77777777" w:rsidR="008E7E5D" w:rsidRPr="003A554E" w:rsidRDefault="008E7E5D" w:rsidP="00205A3D">
            <w:pPr>
              <w:pStyle w:val="ListParagraph"/>
              <w:spacing w:line="360" w:lineRule="auto"/>
              <w:ind w:left="0" w:firstLine="84"/>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13</w:t>
            </w:r>
          </w:p>
        </w:tc>
        <w:tc>
          <w:tcPr>
            <w:tcW w:w="1213" w:type="dxa"/>
          </w:tcPr>
          <w:p w14:paraId="0BAAD9E0"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19,40</w:t>
            </w:r>
          </w:p>
        </w:tc>
        <w:tc>
          <w:tcPr>
            <w:tcW w:w="1393" w:type="dxa"/>
          </w:tcPr>
          <w:p w14:paraId="34750ADE" w14:textId="77777777" w:rsidR="008E7E5D" w:rsidRPr="003A554E" w:rsidRDefault="008E7E5D" w:rsidP="00205A3D">
            <w:pPr>
              <w:pStyle w:val="ListParagraph"/>
              <w:spacing w:line="360" w:lineRule="auto"/>
              <w:ind w:left="0" w:firstLine="167"/>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c>
          <w:tcPr>
            <w:tcW w:w="1156" w:type="dxa"/>
          </w:tcPr>
          <w:p w14:paraId="092EABBC" w14:textId="77777777" w:rsidR="008E7E5D" w:rsidRPr="003A554E" w:rsidRDefault="008E7E5D" w:rsidP="00205A3D">
            <w:pPr>
              <w:pStyle w:val="ListParagraph"/>
              <w:spacing w:line="360" w:lineRule="auto"/>
              <w:ind w:left="0" w:right="-252" w:firstLine="48"/>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r>
      <w:tr w:rsidR="008E7E5D" w:rsidRPr="003A554E" w14:paraId="5F6A0542" w14:textId="77777777" w:rsidTr="00205A3D">
        <w:tc>
          <w:tcPr>
            <w:tcW w:w="535" w:type="dxa"/>
          </w:tcPr>
          <w:p w14:paraId="4BB8644E"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r w:rsidRPr="003A554E">
              <w:rPr>
                <w:rFonts w:ascii="Arial Narrow" w:hAnsi="Arial Narrow" w:cs="Arial"/>
                <w:sz w:val="24"/>
                <w:szCs w:val="24"/>
                <w:lang w:val="id-ID" w:eastAsia="id-ID"/>
              </w:rPr>
              <w:t>3</w:t>
            </w:r>
          </w:p>
        </w:tc>
        <w:tc>
          <w:tcPr>
            <w:tcW w:w="1967" w:type="dxa"/>
          </w:tcPr>
          <w:p w14:paraId="7BECDDDF" w14:textId="2C13DCFF" w:rsidR="008E7E5D" w:rsidRPr="005109AE" w:rsidRDefault="005109AE" w:rsidP="00205A3D">
            <w:pPr>
              <w:pStyle w:val="ListParagraph"/>
              <w:spacing w:line="360" w:lineRule="auto"/>
              <w:ind w:left="0" w:firstLine="0"/>
              <w:jc w:val="center"/>
              <w:rPr>
                <w:rFonts w:ascii="Arial Narrow" w:hAnsi="Arial Narrow" w:cs="Arial"/>
                <w:sz w:val="24"/>
                <w:szCs w:val="24"/>
                <w:lang w:val="en-US" w:eastAsia="id-ID"/>
              </w:rPr>
            </w:pPr>
            <w:r>
              <w:rPr>
                <w:rFonts w:ascii="Arial Narrow" w:hAnsi="Arial Narrow" w:cs="Arial"/>
                <w:sz w:val="24"/>
                <w:szCs w:val="24"/>
                <w:lang w:val="en-US" w:eastAsia="id-ID"/>
              </w:rPr>
              <w:t>Fair</w:t>
            </w:r>
          </w:p>
        </w:tc>
        <w:tc>
          <w:tcPr>
            <w:tcW w:w="1392" w:type="dxa"/>
          </w:tcPr>
          <w:p w14:paraId="4908B689" w14:textId="77777777" w:rsidR="008E7E5D" w:rsidRPr="003A554E" w:rsidRDefault="008E7E5D" w:rsidP="00205A3D">
            <w:pPr>
              <w:pStyle w:val="ListParagraph"/>
              <w:spacing w:line="360" w:lineRule="auto"/>
              <w:ind w:left="0" w:firstLine="84"/>
              <w:jc w:val="center"/>
              <w:rPr>
                <w:rFonts w:ascii="Arial Narrow" w:hAnsi="Arial Narrow" w:cs="Arial"/>
                <w:sz w:val="24"/>
                <w:szCs w:val="24"/>
                <w:lang w:val="id-ID" w:eastAsia="id-ID"/>
              </w:rPr>
            </w:pPr>
            <w:r w:rsidRPr="003A554E">
              <w:rPr>
                <w:rFonts w:ascii="Arial Narrow" w:hAnsi="Arial Narrow" w:cs="Arial"/>
                <w:sz w:val="24"/>
                <w:szCs w:val="24"/>
                <w:lang w:val="id-ID" w:eastAsia="id-ID"/>
              </w:rPr>
              <w:t>35</w:t>
            </w:r>
          </w:p>
        </w:tc>
        <w:tc>
          <w:tcPr>
            <w:tcW w:w="1213" w:type="dxa"/>
          </w:tcPr>
          <w:p w14:paraId="6E4F8FCA"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52,24</w:t>
            </w:r>
          </w:p>
        </w:tc>
        <w:tc>
          <w:tcPr>
            <w:tcW w:w="1393" w:type="dxa"/>
          </w:tcPr>
          <w:p w14:paraId="7D4C3968" w14:textId="77777777" w:rsidR="008E7E5D" w:rsidRPr="003A554E" w:rsidRDefault="008E7E5D" w:rsidP="00205A3D">
            <w:pPr>
              <w:pStyle w:val="ListParagraph"/>
              <w:spacing w:line="360" w:lineRule="auto"/>
              <w:ind w:left="0" w:firstLine="167"/>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c>
          <w:tcPr>
            <w:tcW w:w="1156" w:type="dxa"/>
          </w:tcPr>
          <w:p w14:paraId="704342E4" w14:textId="77777777" w:rsidR="008E7E5D" w:rsidRPr="003A554E" w:rsidRDefault="008E7E5D" w:rsidP="00205A3D">
            <w:pPr>
              <w:pStyle w:val="ListParagraph"/>
              <w:spacing w:line="360" w:lineRule="auto"/>
              <w:ind w:left="0" w:right="-252"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r>
      <w:tr w:rsidR="008E7E5D" w:rsidRPr="003A554E" w14:paraId="4B1360BC" w14:textId="77777777" w:rsidTr="00205A3D">
        <w:tc>
          <w:tcPr>
            <w:tcW w:w="535" w:type="dxa"/>
          </w:tcPr>
          <w:p w14:paraId="0158AC7E"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r w:rsidRPr="003A554E">
              <w:rPr>
                <w:rFonts w:ascii="Arial Narrow" w:hAnsi="Arial Narrow" w:cs="Arial"/>
                <w:sz w:val="24"/>
                <w:szCs w:val="24"/>
                <w:lang w:val="id-ID" w:eastAsia="id-ID"/>
              </w:rPr>
              <w:t>4</w:t>
            </w:r>
          </w:p>
        </w:tc>
        <w:tc>
          <w:tcPr>
            <w:tcW w:w="1967" w:type="dxa"/>
          </w:tcPr>
          <w:p w14:paraId="41DE0663" w14:textId="6FB7CCBF" w:rsidR="008E7E5D" w:rsidRPr="005109AE" w:rsidRDefault="005109AE" w:rsidP="00205A3D">
            <w:pPr>
              <w:pStyle w:val="ListParagraph"/>
              <w:spacing w:line="360" w:lineRule="auto"/>
              <w:ind w:left="0" w:firstLine="0"/>
              <w:jc w:val="center"/>
              <w:rPr>
                <w:rFonts w:ascii="Arial Narrow" w:hAnsi="Arial Narrow" w:cs="Arial"/>
                <w:sz w:val="24"/>
                <w:szCs w:val="24"/>
                <w:lang w:val="en-US" w:eastAsia="id-ID"/>
              </w:rPr>
            </w:pPr>
            <w:r>
              <w:rPr>
                <w:rFonts w:ascii="Arial Narrow" w:hAnsi="Arial Narrow" w:cs="Arial"/>
                <w:sz w:val="24"/>
                <w:szCs w:val="24"/>
                <w:lang w:val="en-US" w:eastAsia="id-ID"/>
              </w:rPr>
              <w:t>Poor</w:t>
            </w:r>
          </w:p>
        </w:tc>
        <w:tc>
          <w:tcPr>
            <w:tcW w:w="1392" w:type="dxa"/>
          </w:tcPr>
          <w:p w14:paraId="7DA7C8AC" w14:textId="77777777" w:rsidR="008E7E5D" w:rsidRPr="003A554E" w:rsidRDefault="008E7E5D" w:rsidP="00205A3D">
            <w:pPr>
              <w:pStyle w:val="ListParagraph"/>
              <w:spacing w:line="360" w:lineRule="auto"/>
              <w:ind w:left="0" w:firstLine="225"/>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c>
          <w:tcPr>
            <w:tcW w:w="1213" w:type="dxa"/>
          </w:tcPr>
          <w:p w14:paraId="28CA6972" w14:textId="77777777" w:rsidR="008E7E5D" w:rsidRPr="003A554E" w:rsidRDefault="008E7E5D" w:rsidP="00205A3D">
            <w:pPr>
              <w:pStyle w:val="ListParagraph"/>
              <w:spacing w:line="360" w:lineRule="auto"/>
              <w:ind w:left="0" w:right="-250" w:firstLine="106"/>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c>
          <w:tcPr>
            <w:tcW w:w="1393" w:type="dxa"/>
          </w:tcPr>
          <w:p w14:paraId="783BF0BC" w14:textId="77777777" w:rsidR="008E7E5D" w:rsidRPr="003A554E" w:rsidRDefault="008E7E5D" w:rsidP="00205A3D">
            <w:pPr>
              <w:pStyle w:val="ListParagraph"/>
              <w:spacing w:line="360" w:lineRule="auto"/>
              <w:ind w:left="0" w:firstLine="167"/>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c>
          <w:tcPr>
            <w:tcW w:w="1156" w:type="dxa"/>
          </w:tcPr>
          <w:p w14:paraId="2E8F5096" w14:textId="77777777" w:rsidR="008E7E5D" w:rsidRPr="003A554E" w:rsidRDefault="008E7E5D" w:rsidP="00205A3D">
            <w:pPr>
              <w:pStyle w:val="ListParagraph"/>
              <w:spacing w:line="360" w:lineRule="auto"/>
              <w:ind w:left="0" w:right="-252"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r>
      <w:tr w:rsidR="008E7E5D" w:rsidRPr="003A554E" w14:paraId="330D3712" w14:textId="77777777" w:rsidTr="00205A3D">
        <w:tc>
          <w:tcPr>
            <w:tcW w:w="535" w:type="dxa"/>
            <w:tcBorders>
              <w:bottom w:val="single" w:sz="4" w:space="0" w:color="auto"/>
            </w:tcBorders>
          </w:tcPr>
          <w:p w14:paraId="4172E8C2"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r w:rsidRPr="003A554E">
              <w:rPr>
                <w:rFonts w:ascii="Arial Narrow" w:hAnsi="Arial Narrow" w:cs="Arial"/>
                <w:sz w:val="24"/>
                <w:szCs w:val="24"/>
                <w:lang w:val="id-ID" w:eastAsia="id-ID"/>
              </w:rPr>
              <w:t>5</w:t>
            </w:r>
          </w:p>
        </w:tc>
        <w:tc>
          <w:tcPr>
            <w:tcW w:w="1967" w:type="dxa"/>
            <w:tcBorders>
              <w:bottom w:val="single" w:sz="4" w:space="0" w:color="auto"/>
            </w:tcBorders>
          </w:tcPr>
          <w:p w14:paraId="705839DC" w14:textId="340ED662" w:rsidR="008E7E5D" w:rsidRPr="005109AE" w:rsidRDefault="005109AE" w:rsidP="00205A3D">
            <w:pPr>
              <w:pStyle w:val="ListParagraph"/>
              <w:spacing w:line="360" w:lineRule="auto"/>
              <w:ind w:left="0" w:firstLine="0"/>
              <w:jc w:val="center"/>
              <w:rPr>
                <w:rFonts w:ascii="Arial Narrow" w:hAnsi="Arial Narrow" w:cs="Arial"/>
                <w:sz w:val="24"/>
                <w:szCs w:val="24"/>
                <w:lang w:val="en-US" w:eastAsia="id-ID"/>
              </w:rPr>
            </w:pPr>
            <w:r>
              <w:rPr>
                <w:rFonts w:ascii="Arial Narrow" w:hAnsi="Arial Narrow" w:cs="Arial"/>
                <w:sz w:val="24"/>
                <w:szCs w:val="24"/>
                <w:lang w:val="en-US" w:eastAsia="id-ID"/>
              </w:rPr>
              <w:t>Failed</w:t>
            </w:r>
          </w:p>
        </w:tc>
        <w:tc>
          <w:tcPr>
            <w:tcW w:w="1392" w:type="dxa"/>
            <w:tcBorders>
              <w:bottom w:val="single" w:sz="4" w:space="0" w:color="auto"/>
            </w:tcBorders>
          </w:tcPr>
          <w:p w14:paraId="03B08F88"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18</w:t>
            </w:r>
          </w:p>
        </w:tc>
        <w:tc>
          <w:tcPr>
            <w:tcW w:w="1213" w:type="dxa"/>
            <w:tcBorders>
              <w:bottom w:val="single" w:sz="4" w:space="0" w:color="auto"/>
            </w:tcBorders>
          </w:tcPr>
          <w:p w14:paraId="277F0962"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26,87</w:t>
            </w:r>
          </w:p>
        </w:tc>
        <w:tc>
          <w:tcPr>
            <w:tcW w:w="1393" w:type="dxa"/>
            <w:tcBorders>
              <w:bottom w:val="single" w:sz="4" w:space="0" w:color="auto"/>
            </w:tcBorders>
          </w:tcPr>
          <w:p w14:paraId="4F97B830" w14:textId="77777777" w:rsidR="008E7E5D" w:rsidRPr="003A554E" w:rsidRDefault="008E7E5D" w:rsidP="00205A3D">
            <w:pPr>
              <w:pStyle w:val="ListParagraph"/>
              <w:spacing w:line="360" w:lineRule="auto"/>
              <w:ind w:left="0" w:firstLine="167"/>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c>
          <w:tcPr>
            <w:tcW w:w="1156" w:type="dxa"/>
            <w:tcBorders>
              <w:bottom w:val="single" w:sz="4" w:space="0" w:color="auto"/>
            </w:tcBorders>
          </w:tcPr>
          <w:p w14:paraId="0A81DD23" w14:textId="77777777" w:rsidR="008E7E5D" w:rsidRPr="003A554E" w:rsidRDefault="008E7E5D" w:rsidP="00205A3D">
            <w:pPr>
              <w:pStyle w:val="ListParagraph"/>
              <w:spacing w:line="360" w:lineRule="auto"/>
              <w:ind w:left="0" w:right="-252"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0</w:t>
            </w:r>
          </w:p>
        </w:tc>
      </w:tr>
      <w:tr w:rsidR="008E7E5D" w:rsidRPr="003A554E" w14:paraId="706C00CD" w14:textId="77777777" w:rsidTr="00205A3D">
        <w:tc>
          <w:tcPr>
            <w:tcW w:w="535" w:type="dxa"/>
            <w:tcBorders>
              <w:top w:val="single" w:sz="4" w:space="0" w:color="auto"/>
              <w:bottom w:val="single" w:sz="4" w:space="0" w:color="auto"/>
            </w:tcBorders>
          </w:tcPr>
          <w:p w14:paraId="1D067F97" w14:textId="77777777" w:rsidR="008E7E5D" w:rsidRPr="003A554E" w:rsidRDefault="008E7E5D" w:rsidP="00205A3D">
            <w:pPr>
              <w:pStyle w:val="ListParagraph"/>
              <w:spacing w:line="360" w:lineRule="auto"/>
              <w:ind w:left="0" w:firstLine="0"/>
              <w:rPr>
                <w:rFonts w:ascii="Arial Narrow" w:hAnsi="Arial Narrow" w:cs="Arial"/>
                <w:sz w:val="24"/>
                <w:szCs w:val="24"/>
                <w:lang w:val="id-ID" w:eastAsia="id-ID"/>
              </w:rPr>
            </w:pPr>
          </w:p>
        </w:tc>
        <w:tc>
          <w:tcPr>
            <w:tcW w:w="1967" w:type="dxa"/>
            <w:tcBorders>
              <w:top w:val="single" w:sz="4" w:space="0" w:color="auto"/>
              <w:bottom w:val="single" w:sz="4" w:space="0" w:color="auto"/>
            </w:tcBorders>
          </w:tcPr>
          <w:p w14:paraId="1D59735D" w14:textId="014E6B1F" w:rsidR="008E7E5D" w:rsidRPr="005109AE" w:rsidRDefault="005109AE" w:rsidP="00205A3D">
            <w:pPr>
              <w:pStyle w:val="ListParagraph"/>
              <w:spacing w:line="360" w:lineRule="auto"/>
              <w:ind w:left="0" w:firstLine="0"/>
              <w:jc w:val="center"/>
              <w:rPr>
                <w:rFonts w:ascii="Arial Narrow" w:hAnsi="Arial Narrow" w:cs="Arial"/>
                <w:sz w:val="24"/>
                <w:szCs w:val="24"/>
                <w:lang w:val="en-US" w:eastAsia="id-ID"/>
              </w:rPr>
            </w:pPr>
            <w:r>
              <w:rPr>
                <w:rFonts w:ascii="Arial Narrow" w:hAnsi="Arial Narrow" w:cs="Arial"/>
                <w:sz w:val="24"/>
                <w:szCs w:val="24"/>
                <w:lang w:val="en-US" w:eastAsia="id-ID"/>
              </w:rPr>
              <w:t>Total</w:t>
            </w:r>
          </w:p>
        </w:tc>
        <w:tc>
          <w:tcPr>
            <w:tcW w:w="1392" w:type="dxa"/>
            <w:tcBorders>
              <w:top w:val="single" w:sz="4" w:space="0" w:color="auto"/>
              <w:bottom w:val="single" w:sz="4" w:space="0" w:color="auto"/>
            </w:tcBorders>
          </w:tcPr>
          <w:p w14:paraId="0BAB7069"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67</w:t>
            </w:r>
          </w:p>
        </w:tc>
        <w:tc>
          <w:tcPr>
            <w:tcW w:w="1213" w:type="dxa"/>
            <w:tcBorders>
              <w:top w:val="single" w:sz="4" w:space="0" w:color="auto"/>
              <w:bottom w:val="single" w:sz="4" w:space="0" w:color="auto"/>
            </w:tcBorders>
          </w:tcPr>
          <w:p w14:paraId="4B041368" w14:textId="77777777" w:rsidR="008E7E5D" w:rsidRPr="003A554E" w:rsidRDefault="008E7E5D" w:rsidP="00205A3D">
            <w:pPr>
              <w:pStyle w:val="ListParagraph"/>
              <w:spacing w:line="360" w:lineRule="auto"/>
              <w:ind w:left="0" w:hanging="177"/>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100</w:t>
            </w:r>
          </w:p>
        </w:tc>
        <w:tc>
          <w:tcPr>
            <w:tcW w:w="1393" w:type="dxa"/>
            <w:tcBorders>
              <w:top w:val="single" w:sz="4" w:space="0" w:color="auto"/>
              <w:bottom w:val="single" w:sz="4" w:space="0" w:color="auto"/>
            </w:tcBorders>
          </w:tcPr>
          <w:p w14:paraId="76695D83"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67</w:t>
            </w:r>
          </w:p>
        </w:tc>
        <w:tc>
          <w:tcPr>
            <w:tcW w:w="1156" w:type="dxa"/>
            <w:tcBorders>
              <w:top w:val="single" w:sz="4" w:space="0" w:color="auto"/>
              <w:bottom w:val="single" w:sz="4" w:space="0" w:color="auto"/>
            </w:tcBorders>
          </w:tcPr>
          <w:p w14:paraId="43355789" w14:textId="77777777" w:rsidR="008E7E5D" w:rsidRPr="003A554E" w:rsidRDefault="008E7E5D" w:rsidP="00205A3D">
            <w:pPr>
              <w:pStyle w:val="ListParagraph"/>
              <w:spacing w:line="360" w:lineRule="auto"/>
              <w:ind w:left="0" w:firstLine="0"/>
              <w:jc w:val="center"/>
              <w:rPr>
                <w:rFonts w:ascii="Arial Narrow" w:hAnsi="Arial Narrow" w:cs="Arial"/>
                <w:sz w:val="24"/>
                <w:szCs w:val="24"/>
                <w:lang w:val="id-ID" w:eastAsia="id-ID"/>
              </w:rPr>
            </w:pPr>
            <w:r w:rsidRPr="003A554E">
              <w:rPr>
                <w:rFonts w:ascii="Arial Narrow" w:hAnsi="Arial Narrow" w:cs="Arial"/>
                <w:sz w:val="24"/>
                <w:szCs w:val="24"/>
                <w:lang w:val="id-ID" w:eastAsia="id-ID"/>
              </w:rPr>
              <w:t>100</w:t>
            </w:r>
          </w:p>
        </w:tc>
      </w:tr>
    </w:tbl>
    <w:p w14:paraId="1AE5110B" w14:textId="77777777" w:rsidR="008E7E5D" w:rsidRPr="008E7E5D" w:rsidRDefault="008E7E5D" w:rsidP="008E7E5D">
      <w:pPr>
        <w:tabs>
          <w:tab w:val="left" w:pos="1390"/>
        </w:tabs>
        <w:rPr>
          <w:rFonts w:ascii="Arial Narrow" w:hAnsi="Arial Narrow" w:cs="Arial"/>
          <w:sz w:val="24"/>
          <w:lang w:val="sv-SE"/>
        </w:rPr>
      </w:pPr>
    </w:p>
    <w:p w14:paraId="37CF4A39" w14:textId="2A7E62D7" w:rsidR="00A608C8" w:rsidRPr="00BD0D38" w:rsidRDefault="005109AE"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Table 2. Shows that there is an increase in knowledge in visitors before counseling most with sufficient criteria 35 (52.24%), after counseling all visitors become very good criteria 67 (100%).</w:t>
      </w:r>
    </w:p>
    <w:p w14:paraId="433CC02B" w14:textId="77777777" w:rsidR="005109AE" w:rsidRDefault="005109AE" w:rsidP="008E7E5D">
      <w:pPr>
        <w:tabs>
          <w:tab w:val="left" w:pos="1390"/>
        </w:tabs>
        <w:rPr>
          <w:rFonts w:ascii="Arial Narrow" w:hAnsi="Arial Narrow" w:cs="Arial"/>
          <w:sz w:val="24"/>
          <w:lang w:val="sv-SE"/>
        </w:rPr>
      </w:pPr>
    </w:p>
    <w:p w14:paraId="5E0ECE29" w14:textId="3E78AAF3" w:rsidR="005109AE" w:rsidRPr="005109AE" w:rsidRDefault="005109AE" w:rsidP="005109AE">
      <w:pPr>
        <w:pStyle w:val="BodyText"/>
        <w:spacing w:line="360" w:lineRule="auto"/>
        <w:jc w:val="center"/>
        <w:rPr>
          <w:rFonts w:ascii="Arial Narrow" w:hAnsi="Arial Narrow" w:cs="Arial"/>
          <w:b/>
          <w:bCs/>
          <w:lang w:val="id-ID" w:eastAsia="id-ID"/>
        </w:rPr>
      </w:pPr>
      <w:r>
        <w:rPr>
          <w:rFonts w:ascii="Arial Narrow" w:hAnsi="Arial Narrow" w:cs="Arial"/>
          <w:b/>
          <w:bCs/>
          <w:lang w:val="en-US" w:eastAsia="id-ID"/>
        </w:rPr>
        <w:t>T</w:t>
      </w:r>
      <w:r w:rsidRPr="005109AE">
        <w:rPr>
          <w:rFonts w:ascii="Arial Narrow" w:hAnsi="Arial Narrow" w:cs="Arial"/>
          <w:b/>
          <w:bCs/>
          <w:lang w:val="id-ID" w:eastAsia="id-ID"/>
        </w:rPr>
        <w:t>able 3</w:t>
      </w:r>
    </w:p>
    <w:p w14:paraId="625A03DF" w14:textId="7907E211" w:rsidR="005109AE" w:rsidRPr="003A554E" w:rsidRDefault="005109AE" w:rsidP="005109AE">
      <w:pPr>
        <w:pStyle w:val="BodyText"/>
        <w:spacing w:line="360" w:lineRule="auto"/>
        <w:jc w:val="center"/>
        <w:rPr>
          <w:rFonts w:ascii="Arial Narrow" w:hAnsi="Arial Narrow" w:cs="Arial"/>
          <w:bCs/>
          <w:lang w:val="id-ID"/>
        </w:rPr>
      </w:pPr>
      <w:r w:rsidRPr="005109AE">
        <w:rPr>
          <w:rFonts w:ascii="Arial Narrow" w:hAnsi="Arial Narrow" w:cs="Arial"/>
          <w:b/>
          <w:bCs/>
          <w:lang w:val="id-ID" w:eastAsia="id-ID"/>
        </w:rPr>
        <w:t>Frequency Distribution of Average Level of Knowledge about Dental Caries Before and After Counseling Using Leaflet Media</w:t>
      </w:r>
    </w:p>
    <w:tbl>
      <w:tblPr>
        <w:tblStyle w:val="TableGrid"/>
        <w:tblW w:w="0" w:type="auto"/>
        <w:tblInd w:w="-90" w:type="dxa"/>
        <w:tblLook w:val="04A0" w:firstRow="1" w:lastRow="0" w:firstColumn="1" w:lastColumn="0" w:noHBand="0" w:noVBand="1"/>
      </w:tblPr>
      <w:tblGrid>
        <w:gridCol w:w="1433"/>
        <w:gridCol w:w="1131"/>
        <w:gridCol w:w="1510"/>
        <w:gridCol w:w="1510"/>
        <w:gridCol w:w="2066"/>
      </w:tblGrid>
      <w:tr w:rsidR="005109AE" w:rsidRPr="003A554E" w14:paraId="7F1FF1C7" w14:textId="77777777" w:rsidTr="00205A3D">
        <w:tc>
          <w:tcPr>
            <w:tcW w:w="1433" w:type="dxa"/>
            <w:tcBorders>
              <w:top w:val="single" w:sz="4" w:space="0" w:color="auto"/>
              <w:left w:val="nil"/>
              <w:bottom w:val="single" w:sz="4" w:space="0" w:color="auto"/>
              <w:right w:val="nil"/>
            </w:tcBorders>
          </w:tcPr>
          <w:p w14:paraId="32537BEC" w14:textId="77777777" w:rsidR="005109AE" w:rsidRPr="003A554E" w:rsidRDefault="005109AE" w:rsidP="00205A3D">
            <w:pPr>
              <w:pStyle w:val="ListParagraph"/>
              <w:spacing w:line="360" w:lineRule="auto"/>
              <w:ind w:left="0" w:firstLine="0"/>
              <w:rPr>
                <w:rFonts w:ascii="Arial Narrow" w:hAnsi="Arial Narrow" w:cs="Arial"/>
                <w:sz w:val="24"/>
                <w:szCs w:val="24"/>
                <w:lang w:val="id-ID" w:eastAsia="id-ID"/>
              </w:rPr>
            </w:pPr>
          </w:p>
        </w:tc>
        <w:tc>
          <w:tcPr>
            <w:tcW w:w="1131" w:type="dxa"/>
            <w:tcBorders>
              <w:top w:val="single" w:sz="4" w:space="0" w:color="auto"/>
              <w:left w:val="nil"/>
              <w:bottom w:val="single" w:sz="4" w:space="0" w:color="auto"/>
              <w:right w:val="nil"/>
            </w:tcBorders>
          </w:tcPr>
          <w:p w14:paraId="47C5D484" w14:textId="5DC0C4B4" w:rsidR="005109AE" w:rsidRPr="003A554E" w:rsidRDefault="005109AE" w:rsidP="00205A3D">
            <w:pPr>
              <w:pStyle w:val="ListParagraph"/>
              <w:spacing w:line="276" w:lineRule="auto"/>
              <w:ind w:left="0" w:firstLine="0"/>
              <w:rPr>
                <w:rFonts w:ascii="Arial Narrow" w:hAnsi="Arial Narrow" w:cs="Arial"/>
                <w:sz w:val="24"/>
                <w:szCs w:val="24"/>
                <w:lang w:val="id-ID" w:eastAsia="id-ID"/>
              </w:rPr>
            </w:pPr>
            <w:r>
              <w:rPr>
                <w:rFonts w:ascii="Arial Narrow" w:hAnsi="Arial Narrow" w:cs="Arial"/>
                <w:sz w:val="24"/>
                <w:szCs w:val="24"/>
                <w:lang w:val="en-US" w:eastAsia="id-ID"/>
              </w:rPr>
              <w:t>Number of Student</w:t>
            </w:r>
            <w:r w:rsidRPr="003A554E">
              <w:rPr>
                <w:rFonts w:ascii="Arial Narrow" w:hAnsi="Arial Narrow" w:cs="Arial"/>
                <w:sz w:val="24"/>
                <w:szCs w:val="24"/>
                <w:lang w:val="id-ID" w:eastAsia="id-ID"/>
              </w:rPr>
              <w:t xml:space="preserve"> </w:t>
            </w:r>
          </w:p>
        </w:tc>
        <w:tc>
          <w:tcPr>
            <w:tcW w:w="1510" w:type="dxa"/>
            <w:tcBorders>
              <w:top w:val="single" w:sz="4" w:space="0" w:color="auto"/>
              <w:left w:val="nil"/>
              <w:bottom w:val="single" w:sz="4" w:space="0" w:color="auto"/>
              <w:right w:val="nil"/>
            </w:tcBorders>
          </w:tcPr>
          <w:p w14:paraId="0B76A63F" w14:textId="60EF3F33" w:rsidR="005109AE" w:rsidRPr="005109AE" w:rsidRDefault="005109AE" w:rsidP="00205A3D">
            <w:pPr>
              <w:pStyle w:val="ListParagraph"/>
              <w:spacing w:line="276" w:lineRule="auto"/>
              <w:ind w:left="0" w:firstLine="0"/>
              <w:rPr>
                <w:rFonts w:ascii="Arial Narrow" w:hAnsi="Arial Narrow" w:cs="Arial"/>
                <w:sz w:val="24"/>
                <w:szCs w:val="24"/>
                <w:lang w:val="en-US" w:eastAsia="id-ID"/>
              </w:rPr>
            </w:pPr>
            <w:r>
              <w:rPr>
                <w:rFonts w:ascii="Arial Narrow" w:hAnsi="Arial Narrow" w:cs="Arial"/>
                <w:sz w:val="24"/>
                <w:szCs w:val="24"/>
                <w:lang w:val="en-US" w:eastAsia="id-ID"/>
              </w:rPr>
              <w:t>Knowledge Score</w:t>
            </w:r>
          </w:p>
        </w:tc>
        <w:tc>
          <w:tcPr>
            <w:tcW w:w="1510" w:type="dxa"/>
            <w:tcBorders>
              <w:top w:val="single" w:sz="4" w:space="0" w:color="auto"/>
              <w:left w:val="nil"/>
              <w:bottom w:val="single" w:sz="4" w:space="0" w:color="auto"/>
              <w:right w:val="nil"/>
            </w:tcBorders>
          </w:tcPr>
          <w:p w14:paraId="61D46DA4" w14:textId="03DCE12F" w:rsidR="005109AE" w:rsidRPr="003A554E" w:rsidRDefault="005109AE" w:rsidP="00205A3D">
            <w:pPr>
              <w:pStyle w:val="ListParagraph"/>
              <w:spacing w:line="276" w:lineRule="auto"/>
              <w:ind w:left="0" w:firstLine="0"/>
              <w:rPr>
                <w:rFonts w:ascii="Arial Narrow" w:hAnsi="Arial Narrow" w:cs="Arial"/>
                <w:sz w:val="24"/>
                <w:szCs w:val="24"/>
                <w:lang w:val="id-ID" w:eastAsia="id-ID"/>
              </w:rPr>
            </w:pPr>
            <w:r>
              <w:rPr>
                <w:rFonts w:ascii="Arial Narrow" w:hAnsi="Arial Narrow" w:cs="Arial"/>
                <w:sz w:val="24"/>
                <w:szCs w:val="24"/>
                <w:lang w:val="en-US" w:eastAsia="id-ID"/>
              </w:rPr>
              <w:t>Average Knowledge</w:t>
            </w:r>
            <w:r w:rsidRPr="003A554E">
              <w:rPr>
                <w:rFonts w:ascii="Arial Narrow" w:hAnsi="Arial Narrow" w:cs="Arial"/>
                <w:sz w:val="24"/>
                <w:szCs w:val="24"/>
                <w:lang w:val="id-ID" w:eastAsia="id-ID"/>
              </w:rPr>
              <w:t xml:space="preserve"> </w:t>
            </w:r>
          </w:p>
        </w:tc>
        <w:tc>
          <w:tcPr>
            <w:tcW w:w="2066" w:type="dxa"/>
            <w:tcBorders>
              <w:top w:val="single" w:sz="4" w:space="0" w:color="auto"/>
              <w:left w:val="nil"/>
              <w:bottom w:val="single" w:sz="4" w:space="0" w:color="auto"/>
              <w:right w:val="nil"/>
            </w:tcBorders>
          </w:tcPr>
          <w:p w14:paraId="2D7F139B" w14:textId="709C758A" w:rsidR="005109AE" w:rsidRPr="005109AE" w:rsidRDefault="005109AE" w:rsidP="00205A3D">
            <w:pPr>
              <w:pStyle w:val="ListParagraph"/>
              <w:spacing w:line="276" w:lineRule="auto"/>
              <w:ind w:left="0" w:firstLine="0"/>
              <w:rPr>
                <w:rFonts w:ascii="Arial Narrow" w:hAnsi="Arial Narrow" w:cs="Arial"/>
                <w:sz w:val="24"/>
                <w:szCs w:val="24"/>
                <w:lang w:val="en-US" w:eastAsia="id-ID"/>
              </w:rPr>
            </w:pPr>
            <w:r>
              <w:rPr>
                <w:rFonts w:ascii="Arial Narrow" w:hAnsi="Arial Narrow" w:cs="Arial"/>
                <w:sz w:val="24"/>
                <w:szCs w:val="24"/>
                <w:lang w:val="en-US" w:eastAsia="id-ID"/>
              </w:rPr>
              <w:t>Criteria</w:t>
            </w:r>
          </w:p>
        </w:tc>
      </w:tr>
      <w:tr w:rsidR="005109AE" w:rsidRPr="003A554E" w14:paraId="424152E4" w14:textId="77777777" w:rsidTr="00205A3D">
        <w:tc>
          <w:tcPr>
            <w:tcW w:w="1433" w:type="dxa"/>
            <w:tcBorders>
              <w:top w:val="single" w:sz="4" w:space="0" w:color="auto"/>
              <w:left w:val="nil"/>
              <w:bottom w:val="single" w:sz="4" w:space="0" w:color="auto"/>
              <w:right w:val="nil"/>
            </w:tcBorders>
          </w:tcPr>
          <w:p w14:paraId="078B62A5" w14:textId="280D4C83" w:rsidR="005109AE" w:rsidRPr="003A554E" w:rsidRDefault="005109AE" w:rsidP="00205A3D">
            <w:pPr>
              <w:pStyle w:val="ListParagraph"/>
              <w:spacing w:line="276" w:lineRule="auto"/>
              <w:ind w:left="0" w:firstLine="0"/>
              <w:rPr>
                <w:rFonts w:ascii="Arial Narrow" w:hAnsi="Arial Narrow" w:cs="Arial"/>
                <w:sz w:val="24"/>
                <w:szCs w:val="24"/>
                <w:lang w:val="id-ID" w:eastAsia="id-ID"/>
              </w:rPr>
            </w:pPr>
            <w:r>
              <w:rPr>
                <w:rFonts w:ascii="Arial Narrow" w:hAnsi="Arial Narrow" w:cs="Arial"/>
                <w:sz w:val="24"/>
                <w:szCs w:val="24"/>
                <w:lang w:val="en-US" w:eastAsia="id-ID"/>
              </w:rPr>
              <w:t>Counseling Before</w:t>
            </w:r>
            <w:r w:rsidRPr="003A554E">
              <w:rPr>
                <w:rFonts w:ascii="Arial Narrow" w:hAnsi="Arial Narrow" w:cs="Arial"/>
                <w:sz w:val="24"/>
                <w:szCs w:val="24"/>
                <w:lang w:val="id-ID" w:eastAsia="id-ID"/>
              </w:rPr>
              <w:t xml:space="preserve"> </w:t>
            </w:r>
          </w:p>
        </w:tc>
        <w:tc>
          <w:tcPr>
            <w:tcW w:w="1131" w:type="dxa"/>
            <w:tcBorders>
              <w:top w:val="single" w:sz="4" w:space="0" w:color="auto"/>
              <w:left w:val="nil"/>
              <w:bottom w:val="single" w:sz="4" w:space="0" w:color="auto"/>
              <w:right w:val="nil"/>
            </w:tcBorders>
          </w:tcPr>
          <w:p w14:paraId="09541775" w14:textId="77777777" w:rsidR="005109AE" w:rsidRPr="003A554E" w:rsidRDefault="005109AE" w:rsidP="00205A3D">
            <w:pPr>
              <w:pStyle w:val="ListParagraph"/>
              <w:spacing w:line="276" w:lineRule="auto"/>
              <w:ind w:left="0" w:firstLine="0"/>
              <w:jc w:val="left"/>
              <w:rPr>
                <w:rFonts w:ascii="Arial Narrow" w:hAnsi="Arial Narrow" w:cs="Arial"/>
                <w:sz w:val="24"/>
                <w:szCs w:val="24"/>
                <w:lang w:val="id-ID" w:eastAsia="id-ID"/>
              </w:rPr>
            </w:pPr>
            <w:r w:rsidRPr="003A554E">
              <w:rPr>
                <w:rFonts w:ascii="Arial Narrow" w:hAnsi="Arial Narrow" w:cs="Arial"/>
                <w:sz w:val="24"/>
                <w:szCs w:val="24"/>
                <w:lang w:val="id-ID" w:eastAsia="id-ID"/>
              </w:rPr>
              <w:t>67</w:t>
            </w:r>
          </w:p>
        </w:tc>
        <w:tc>
          <w:tcPr>
            <w:tcW w:w="1510" w:type="dxa"/>
            <w:tcBorders>
              <w:top w:val="single" w:sz="4" w:space="0" w:color="auto"/>
              <w:left w:val="nil"/>
              <w:bottom w:val="single" w:sz="4" w:space="0" w:color="auto"/>
              <w:right w:val="nil"/>
            </w:tcBorders>
          </w:tcPr>
          <w:p w14:paraId="7A1489DD" w14:textId="77777777" w:rsidR="005109AE" w:rsidRPr="003A554E" w:rsidRDefault="005109AE" w:rsidP="00205A3D">
            <w:pPr>
              <w:pStyle w:val="ListParagraph"/>
              <w:spacing w:line="360" w:lineRule="auto"/>
              <w:ind w:left="0" w:firstLine="0"/>
              <w:jc w:val="left"/>
              <w:rPr>
                <w:rFonts w:ascii="Arial Narrow" w:hAnsi="Arial Narrow" w:cs="Arial"/>
                <w:sz w:val="24"/>
                <w:szCs w:val="24"/>
                <w:lang w:val="id-ID" w:eastAsia="id-ID"/>
              </w:rPr>
            </w:pPr>
            <w:r w:rsidRPr="003A554E">
              <w:rPr>
                <w:rFonts w:ascii="Arial Narrow" w:hAnsi="Arial Narrow" w:cs="Arial"/>
                <w:sz w:val="24"/>
                <w:szCs w:val="24"/>
                <w:lang w:val="id-ID" w:eastAsia="id-ID"/>
              </w:rPr>
              <w:t>3590</w:t>
            </w:r>
          </w:p>
        </w:tc>
        <w:tc>
          <w:tcPr>
            <w:tcW w:w="1510" w:type="dxa"/>
            <w:tcBorders>
              <w:top w:val="single" w:sz="4" w:space="0" w:color="auto"/>
              <w:left w:val="nil"/>
              <w:bottom w:val="single" w:sz="4" w:space="0" w:color="auto"/>
              <w:right w:val="nil"/>
            </w:tcBorders>
          </w:tcPr>
          <w:p w14:paraId="00F9E37E" w14:textId="77777777" w:rsidR="005109AE" w:rsidRPr="003A554E" w:rsidRDefault="005109AE" w:rsidP="00205A3D">
            <w:pPr>
              <w:pStyle w:val="ListParagraph"/>
              <w:spacing w:line="360" w:lineRule="auto"/>
              <w:ind w:left="0" w:firstLine="0"/>
              <w:jc w:val="left"/>
              <w:rPr>
                <w:rFonts w:ascii="Arial Narrow" w:hAnsi="Arial Narrow" w:cs="Arial"/>
                <w:sz w:val="24"/>
                <w:szCs w:val="24"/>
                <w:lang w:val="id-ID" w:eastAsia="id-ID"/>
              </w:rPr>
            </w:pPr>
            <w:r w:rsidRPr="003A554E">
              <w:rPr>
                <w:rFonts w:ascii="Arial Narrow" w:hAnsi="Arial Narrow" w:cs="Arial"/>
                <w:sz w:val="24"/>
                <w:szCs w:val="24"/>
                <w:lang w:val="id-ID" w:eastAsia="id-ID"/>
              </w:rPr>
              <w:t>53,58</w:t>
            </w:r>
          </w:p>
        </w:tc>
        <w:tc>
          <w:tcPr>
            <w:tcW w:w="2066" w:type="dxa"/>
            <w:tcBorders>
              <w:top w:val="single" w:sz="4" w:space="0" w:color="auto"/>
              <w:left w:val="nil"/>
              <w:bottom w:val="single" w:sz="4" w:space="0" w:color="auto"/>
              <w:right w:val="nil"/>
            </w:tcBorders>
          </w:tcPr>
          <w:p w14:paraId="0D990429" w14:textId="6231DCB1" w:rsidR="005109AE" w:rsidRPr="005109AE" w:rsidRDefault="005109AE" w:rsidP="00205A3D">
            <w:pPr>
              <w:pStyle w:val="ListParagraph"/>
              <w:spacing w:line="360" w:lineRule="auto"/>
              <w:ind w:left="0" w:firstLine="0"/>
              <w:rPr>
                <w:rFonts w:ascii="Arial Narrow" w:hAnsi="Arial Narrow" w:cs="Arial"/>
                <w:sz w:val="24"/>
                <w:szCs w:val="24"/>
                <w:lang w:val="en-US" w:eastAsia="id-ID"/>
              </w:rPr>
            </w:pPr>
            <w:r>
              <w:rPr>
                <w:rFonts w:ascii="Arial Narrow" w:hAnsi="Arial Narrow" w:cs="Arial"/>
                <w:sz w:val="24"/>
                <w:szCs w:val="24"/>
                <w:lang w:val="en-US" w:eastAsia="id-ID"/>
              </w:rPr>
              <w:t>Less</w:t>
            </w:r>
          </w:p>
        </w:tc>
      </w:tr>
      <w:tr w:rsidR="005109AE" w:rsidRPr="003A554E" w14:paraId="544A84C8" w14:textId="77777777" w:rsidTr="00205A3D">
        <w:tc>
          <w:tcPr>
            <w:tcW w:w="1433" w:type="dxa"/>
            <w:tcBorders>
              <w:top w:val="single" w:sz="4" w:space="0" w:color="auto"/>
              <w:left w:val="nil"/>
              <w:bottom w:val="single" w:sz="4" w:space="0" w:color="auto"/>
              <w:right w:val="nil"/>
            </w:tcBorders>
          </w:tcPr>
          <w:p w14:paraId="5F15CA6F" w14:textId="4AFFA63B" w:rsidR="005109AE" w:rsidRPr="003A554E" w:rsidRDefault="005109AE" w:rsidP="00205A3D">
            <w:pPr>
              <w:pStyle w:val="ListParagraph"/>
              <w:spacing w:line="276" w:lineRule="auto"/>
              <w:ind w:left="0" w:firstLine="0"/>
              <w:rPr>
                <w:rFonts w:ascii="Arial Narrow" w:hAnsi="Arial Narrow" w:cs="Arial"/>
                <w:sz w:val="24"/>
                <w:szCs w:val="24"/>
                <w:lang w:val="id-ID" w:eastAsia="id-ID"/>
              </w:rPr>
            </w:pPr>
            <w:r>
              <w:rPr>
                <w:rFonts w:ascii="Arial Narrow" w:hAnsi="Arial Narrow" w:cs="Arial"/>
                <w:sz w:val="24"/>
                <w:szCs w:val="24"/>
                <w:lang w:val="en-US" w:eastAsia="id-ID"/>
              </w:rPr>
              <w:t>After Counseling</w:t>
            </w:r>
            <w:r w:rsidRPr="003A554E">
              <w:rPr>
                <w:rFonts w:ascii="Arial Narrow" w:hAnsi="Arial Narrow" w:cs="Arial"/>
                <w:sz w:val="24"/>
                <w:szCs w:val="24"/>
                <w:lang w:val="id-ID" w:eastAsia="id-ID"/>
              </w:rPr>
              <w:t xml:space="preserve"> </w:t>
            </w:r>
          </w:p>
        </w:tc>
        <w:tc>
          <w:tcPr>
            <w:tcW w:w="1131" w:type="dxa"/>
            <w:tcBorders>
              <w:top w:val="single" w:sz="4" w:space="0" w:color="auto"/>
              <w:left w:val="nil"/>
              <w:bottom w:val="single" w:sz="4" w:space="0" w:color="auto"/>
              <w:right w:val="nil"/>
            </w:tcBorders>
          </w:tcPr>
          <w:p w14:paraId="6203DF23" w14:textId="77777777" w:rsidR="005109AE" w:rsidRPr="003A554E" w:rsidRDefault="005109AE" w:rsidP="00205A3D">
            <w:pPr>
              <w:pStyle w:val="ListParagraph"/>
              <w:spacing w:line="276" w:lineRule="auto"/>
              <w:ind w:left="0" w:firstLine="0"/>
              <w:jc w:val="left"/>
              <w:rPr>
                <w:rFonts w:ascii="Arial Narrow" w:hAnsi="Arial Narrow" w:cs="Arial"/>
                <w:sz w:val="24"/>
                <w:szCs w:val="24"/>
                <w:lang w:val="id-ID" w:eastAsia="id-ID"/>
              </w:rPr>
            </w:pPr>
            <w:r w:rsidRPr="003A554E">
              <w:rPr>
                <w:rFonts w:ascii="Arial Narrow" w:hAnsi="Arial Narrow" w:cs="Arial"/>
                <w:sz w:val="24"/>
                <w:szCs w:val="24"/>
                <w:lang w:val="id-ID" w:eastAsia="id-ID"/>
              </w:rPr>
              <w:t>67</w:t>
            </w:r>
          </w:p>
        </w:tc>
        <w:tc>
          <w:tcPr>
            <w:tcW w:w="1510" w:type="dxa"/>
            <w:tcBorders>
              <w:top w:val="single" w:sz="4" w:space="0" w:color="auto"/>
              <w:left w:val="nil"/>
              <w:bottom w:val="single" w:sz="4" w:space="0" w:color="auto"/>
              <w:right w:val="nil"/>
            </w:tcBorders>
          </w:tcPr>
          <w:p w14:paraId="49942140" w14:textId="77777777" w:rsidR="005109AE" w:rsidRPr="003A554E" w:rsidRDefault="005109AE" w:rsidP="00205A3D">
            <w:pPr>
              <w:pStyle w:val="ListParagraph"/>
              <w:spacing w:line="360" w:lineRule="auto"/>
              <w:ind w:left="0" w:firstLine="0"/>
              <w:jc w:val="left"/>
              <w:rPr>
                <w:rFonts w:ascii="Arial Narrow" w:hAnsi="Arial Narrow" w:cs="Arial"/>
                <w:sz w:val="24"/>
                <w:szCs w:val="24"/>
                <w:lang w:val="id-ID" w:eastAsia="id-ID"/>
              </w:rPr>
            </w:pPr>
            <w:r w:rsidRPr="003A554E">
              <w:rPr>
                <w:rFonts w:ascii="Arial Narrow" w:hAnsi="Arial Narrow" w:cs="Arial"/>
                <w:sz w:val="24"/>
                <w:szCs w:val="24"/>
                <w:lang w:val="id-ID" w:eastAsia="id-ID"/>
              </w:rPr>
              <w:t>6290</w:t>
            </w:r>
          </w:p>
        </w:tc>
        <w:tc>
          <w:tcPr>
            <w:tcW w:w="1510" w:type="dxa"/>
            <w:tcBorders>
              <w:top w:val="single" w:sz="4" w:space="0" w:color="auto"/>
              <w:left w:val="nil"/>
              <w:bottom w:val="single" w:sz="4" w:space="0" w:color="auto"/>
              <w:right w:val="nil"/>
            </w:tcBorders>
          </w:tcPr>
          <w:p w14:paraId="52CC5E6E" w14:textId="77777777" w:rsidR="005109AE" w:rsidRPr="003A554E" w:rsidRDefault="005109AE" w:rsidP="00205A3D">
            <w:pPr>
              <w:pStyle w:val="ListParagraph"/>
              <w:spacing w:line="360" w:lineRule="auto"/>
              <w:ind w:left="0" w:firstLine="0"/>
              <w:jc w:val="left"/>
              <w:rPr>
                <w:rFonts w:ascii="Arial Narrow" w:hAnsi="Arial Narrow" w:cs="Arial"/>
                <w:sz w:val="24"/>
                <w:szCs w:val="24"/>
                <w:lang w:val="id-ID" w:eastAsia="id-ID"/>
              </w:rPr>
            </w:pPr>
            <w:r w:rsidRPr="003A554E">
              <w:rPr>
                <w:rFonts w:ascii="Arial Narrow" w:hAnsi="Arial Narrow" w:cs="Arial"/>
                <w:sz w:val="24"/>
                <w:szCs w:val="24"/>
                <w:lang w:val="id-ID" w:eastAsia="id-ID"/>
              </w:rPr>
              <w:t>93,88</w:t>
            </w:r>
          </w:p>
        </w:tc>
        <w:tc>
          <w:tcPr>
            <w:tcW w:w="2066" w:type="dxa"/>
            <w:tcBorders>
              <w:top w:val="single" w:sz="4" w:space="0" w:color="auto"/>
              <w:left w:val="nil"/>
              <w:bottom w:val="single" w:sz="4" w:space="0" w:color="auto"/>
              <w:right w:val="nil"/>
            </w:tcBorders>
          </w:tcPr>
          <w:p w14:paraId="054F750F" w14:textId="1C954FE4" w:rsidR="005109AE" w:rsidRPr="005109AE" w:rsidRDefault="005109AE" w:rsidP="00205A3D">
            <w:pPr>
              <w:pStyle w:val="ListParagraph"/>
              <w:spacing w:line="360" w:lineRule="auto"/>
              <w:ind w:left="0" w:firstLine="0"/>
              <w:rPr>
                <w:rFonts w:ascii="Arial Narrow" w:hAnsi="Arial Narrow" w:cs="Arial"/>
                <w:sz w:val="24"/>
                <w:szCs w:val="24"/>
                <w:lang w:val="en-US" w:eastAsia="id-ID"/>
              </w:rPr>
            </w:pPr>
            <w:r>
              <w:rPr>
                <w:rFonts w:ascii="Arial Narrow" w:hAnsi="Arial Narrow" w:cs="Arial"/>
                <w:sz w:val="24"/>
                <w:szCs w:val="24"/>
                <w:lang w:val="en-US" w:eastAsia="id-ID"/>
              </w:rPr>
              <w:t>Very Good</w:t>
            </w:r>
          </w:p>
        </w:tc>
      </w:tr>
    </w:tbl>
    <w:p w14:paraId="33B55408" w14:textId="77777777" w:rsidR="005109AE" w:rsidRDefault="005109AE" w:rsidP="008E7E5D">
      <w:pPr>
        <w:tabs>
          <w:tab w:val="left" w:pos="1390"/>
        </w:tabs>
        <w:rPr>
          <w:rFonts w:ascii="Arial Narrow" w:hAnsi="Arial Narrow" w:cs="Arial"/>
          <w:sz w:val="24"/>
          <w:lang w:val="sv-SE"/>
        </w:rPr>
      </w:pPr>
    </w:p>
    <w:p w14:paraId="6F80F013" w14:textId="71F7FEE0" w:rsidR="005109AE" w:rsidRPr="00BD0D38" w:rsidRDefault="005109AE"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Table 3. Shows that the average level of knowledge of dental clinic visitors of Puskesmas Abiansemal I increased before counseling, namely 53.58 with poor criteria, while after counseling it was 93.88 with very good criteria.</w:t>
      </w:r>
    </w:p>
    <w:p w14:paraId="773F18CC" w14:textId="77777777" w:rsidR="005109AE" w:rsidRPr="00BD0D38" w:rsidRDefault="005109AE" w:rsidP="00BD0D38">
      <w:pPr>
        <w:tabs>
          <w:tab w:val="left" w:pos="1390"/>
        </w:tabs>
        <w:jc w:val="both"/>
        <w:rPr>
          <w:rFonts w:ascii="Times New Roman" w:hAnsi="Times New Roman" w:cs="Times New Roman"/>
          <w:b/>
          <w:bCs/>
          <w:sz w:val="24"/>
          <w:lang w:val="sv-SE"/>
        </w:rPr>
      </w:pPr>
      <w:r w:rsidRPr="00BD0D38">
        <w:rPr>
          <w:rFonts w:ascii="Times New Roman" w:hAnsi="Times New Roman" w:cs="Times New Roman"/>
          <w:b/>
          <w:bCs/>
          <w:sz w:val="24"/>
          <w:lang w:val="sv-SE"/>
        </w:rPr>
        <w:t xml:space="preserve">DISCUSSION </w:t>
      </w:r>
    </w:p>
    <w:p w14:paraId="0B87A9A9" w14:textId="4AA746B7" w:rsidR="005109AE" w:rsidRPr="00BD0D38" w:rsidRDefault="005109AE"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The results of the study describe the level of knowledge about dental caries before and after counseling using leaflet media at visitors to Puskesmas I Abiansemal Badung Regency in 2023 as many as 67 people with 49 women (73.13%) and 18 men (26.87%) and most of them were adults (Sugiyono, 2016).</w:t>
      </w:r>
    </w:p>
    <w:p w14:paraId="1AA2CCEE" w14:textId="73D98DF5" w:rsidR="005109AE" w:rsidRDefault="005109AE"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The level of knowledge of dental caries in dental clinic visitors after counseling using leaflet media at Puskesmas I Abiansemal in 2023 shows that all respondents have very good knowledge criteria (100%). The average knowledge of dental clinic visitors after counseling using leaflet media was 93.88 with very good criteria. This has increased by 40.3 this is likely due to the interest of respondents at the time of counseling using leaflet media. This result may be due to the lack of knowledge of visitors and the lack of maximum information obtained by visitors in the form of counseling or electronic media or reading articles about dental caries on the internet.</w:t>
      </w:r>
      <w:r w:rsidR="00BD0D38" w:rsidRPr="00BD0D38">
        <w:rPr>
          <w:rFonts w:ascii="Times New Roman" w:hAnsi="Times New Roman" w:cs="Times New Roman"/>
        </w:rPr>
        <w:t xml:space="preserve"> </w:t>
      </w:r>
      <w:r w:rsidR="00BD0D38" w:rsidRPr="00BD0D38">
        <w:rPr>
          <w:rFonts w:ascii="Times New Roman" w:hAnsi="Times New Roman" w:cs="Times New Roman"/>
          <w:sz w:val="24"/>
          <w:lang w:val="sv-SE"/>
        </w:rPr>
        <w:t>According to Syah (2012), it states that a person's knowledge is influenced by internal factors which include attitude, interest, talent, and motivation. According to Notoatmodjo (2014), it is stated that knowledge is influenced by information, if you often get information about a lesson, it will increase your knowledge and insight, while someone who does not often receive information will not increase knowledge and insight.  The theory conveyed by Azwar (2011) is that in launching the achievement of information, media is needed that is able to generate public opinions so that it will affect a person's attitude If the more five senses used in receiving information, the clearer and more knowledge is obtained which will affect a person's attitude.</w:t>
      </w:r>
    </w:p>
    <w:p w14:paraId="3A18F429" w14:textId="77777777" w:rsidR="00BD0D38" w:rsidRPr="00BD0D38" w:rsidRDefault="00BD0D38" w:rsidP="00BD0D38">
      <w:pPr>
        <w:tabs>
          <w:tab w:val="left" w:pos="1390"/>
        </w:tabs>
        <w:jc w:val="both"/>
        <w:rPr>
          <w:rFonts w:ascii="Times New Roman" w:hAnsi="Times New Roman" w:cs="Times New Roman"/>
          <w:i/>
          <w:iCs/>
          <w:sz w:val="24"/>
          <w:lang w:val="sv-SE"/>
        </w:rPr>
      </w:pPr>
      <w:r w:rsidRPr="00BD0D38">
        <w:rPr>
          <w:rFonts w:ascii="Times New Roman" w:hAnsi="Times New Roman" w:cs="Times New Roman"/>
          <w:i/>
          <w:iCs/>
          <w:sz w:val="24"/>
          <w:lang w:val="sv-SE"/>
        </w:rPr>
        <w:t xml:space="preserve">Prevention of caries and periodontal disease is very important both individually and in the community </w:t>
      </w:r>
      <w:r w:rsidRPr="005D1532">
        <w:rPr>
          <w:rFonts w:ascii="Times New Roman" w:hAnsi="Times New Roman" w:cs="Times New Roman"/>
          <w:sz w:val="24"/>
          <w:lang w:val="sv-SE"/>
        </w:rPr>
        <w:t>(Jepsen et al., 2017; Ermawati et al., 2021); (Antonio et al., 2005)) (Al-Qahtani et al., 2020).</w:t>
      </w:r>
      <w:r w:rsidRPr="00BD0D38">
        <w:rPr>
          <w:rFonts w:ascii="Times New Roman" w:hAnsi="Times New Roman" w:cs="Times New Roman"/>
          <w:i/>
          <w:iCs/>
          <w:sz w:val="24"/>
          <w:lang w:val="sv-SE"/>
        </w:rPr>
        <w:t xml:space="preserve"> </w:t>
      </w:r>
    </w:p>
    <w:p w14:paraId="55011103" w14:textId="6A5BACB2" w:rsidR="00BD0D38" w:rsidRDefault="00BD0D3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 xml:space="preserve">The results of this study are in line with the research of Wulandari, et al (2020) entitled the effect of health education with leaflet media to increase knowledge and behavior in an effort to implement health protocols in traders at car free day tamanggung, it was found that the behavior before being given health education </w:t>
      </w:r>
      <w:r w:rsidRPr="00BD0D38">
        <w:rPr>
          <w:rFonts w:ascii="Times New Roman" w:hAnsi="Times New Roman" w:cs="Times New Roman"/>
          <w:sz w:val="24"/>
          <w:lang w:val="sv-SE"/>
        </w:rPr>
        <w:lastRenderedPageBreak/>
        <w:t>was with a standard deviation of 5.43 and after being given health education the standard deviation was 2.67.</w:t>
      </w:r>
    </w:p>
    <w:p w14:paraId="58FEBBC3" w14:textId="77777777" w:rsidR="00BD0D38" w:rsidRPr="00BD0D38" w:rsidRDefault="00BD0D38" w:rsidP="00BD0D38">
      <w:pPr>
        <w:tabs>
          <w:tab w:val="left" w:pos="1390"/>
        </w:tabs>
        <w:jc w:val="both"/>
        <w:rPr>
          <w:rFonts w:ascii="Times New Roman" w:hAnsi="Times New Roman" w:cs="Times New Roman"/>
          <w:sz w:val="24"/>
          <w:lang w:val="sv-SE"/>
        </w:rPr>
      </w:pPr>
      <w:r w:rsidRPr="005D1532">
        <w:rPr>
          <w:rFonts w:ascii="Times New Roman" w:hAnsi="Times New Roman" w:cs="Times New Roman"/>
          <w:b/>
          <w:bCs/>
          <w:sz w:val="24"/>
          <w:lang w:val="sv-SE"/>
        </w:rPr>
        <w:t>CONCLUSION(S)</w:t>
      </w:r>
    </w:p>
    <w:p w14:paraId="149C6F9C" w14:textId="3F760BB8" w:rsidR="00BD0D38" w:rsidRDefault="00BD0D3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Based on the results of research on increasing knowledge about dental caries after counseling using leaflet media on visitors to Puskesmas I Abiansemal Badung Regency in 2023, that most dental clinic visitors who had knowledge about dental caries before counseling with a failed category as many as (26.87%). But after being given counseling it increased, namely the excellent category of 67 people (100%). The average knowledge of dental clinic visitors about dental caries before counseling was 53.58 including the category of less and after counseling was 93.88 including the category of very good, the average increase in knowledge of dental clinic visitors before and after counseling increased by 40.3.</w:t>
      </w:r>
    </w:p>
    <w:p w14:paraId="40985095" w14:textId="77777777" w:rsidR="00BD0D38" w:rsidRPr="005D1532" w:rsidRDefault="00BD0D38" w:rsidP="00BD0D38">
      <w:pPr>
        <w:tabs>
          <w:tab w:val="left" w:pos="1390"/>
        </w:tabs>
        <w:jc w:val="both"/>
        <w:rPr>
          <w:rFonts w:ascii="Times New Roman" w:hAnsi="Times New Roman" w:cs="Times New Roman"/>
          <w:b/>
          <w:bCs/>
          <w:sz w:val="24"/>
          <w:lang w:val="sv-SE"/>
        </w:rPr>
      </w:pPr>
      <w:r w:rsidRPr="005D1532">
        <w:rPr>
          <w:rFonts w:ascii="Times New Roman" w:hAnsi="Times New Roman" w:cs="Times New Roman"/>
          <w:b/>
          <w:bCs/>
          <w:sz w:val="24"/>
          <w:lang w:val="sv-SE"/>
        </w:rPr>
        <w:t>Conflict of Interest</w:t>
      </w:r>
    </w:p>
    <w:p w14:paraId="2E58344E" w14:textId="77777777" w:rsidR="00BD0D38" w:rsidRPr="00BD0D38" w:rsidRDefault="00BD0D3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This research is very simple, further research can be developed using other promotional media.</w:t>
      </w:r>
    </w:p>
    <w:p w14:paraId="08DB5574" w14:textId="77777777" w:rsidR="00BD0D38" w:rsidRPr="005D1532" w:rsidRDefault="00BD0D38" w:rsidP="00BD0D38">
      <w:pPr>
        <w:tabs>
          <w:tab w:val="left" w:pos="1390"/>
        </w:tabs>
        <w:jc w:val="both"/>
        <w:rPr>
          <w:rFonts w:ascii="Times New Roman" w:hAnsi="Times New Roman" w:cs="Times New Roman"/>
          <w:b/>
          <w:bCs/>
          <w:sz w:val="24"/>
          <w:lang w:val="sv-SE"/>
        </w:rPr>
      </w:pPr>
      <w:r w:rsidRPr="005D1532">
        <w:rPr>
          <w:rFonts w:ascii="Times New Roman" w:hAnsi="Times New Roman" w:cs="Times New Roman"/>
          <w:b/>
          <w:bCs/>
          <w:sz w:val="24"/>
          <w:lang w:val="sv-SE"/>
        </w:rPr>
        <w:t>Acknowledgment</w:t>
      </w:r>
    </w:p>
    <w:p w14:paraId="78578672" w14:textId="6169F0B2" w:rsidR="00BD0D38" w:rsidRDefault="00BD0D3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Thank you to drg Sagung Agung Putri Dwiastuti, M.Kes who helped a lot so that this manuscript was compiled.</w:t>
      </w:r>
    </w:p>
    <w:p w14:paraId="312DC18A" w14:textId="543B3179" w:rsidR="00BD0D38" w:rsidRDefault="00BD0D38" w:rsidP="00BD0D38">
      <w:pPr>
        <w:tabs>
          <w:tab w:val="left" w:pos="1390"/>
        </w:tabs>
        <w:jc w:val="both"/>
        <w:rPr>
          <w:rFonts w:ascii="Times New Roman" w:hAnsi="Times New Roman" w:cs="Times New Roman"/>
          <w:sz w:val="24"/>
          <w:lang w:val="sv-SE"/>
        </w:rPr>
      </w:pPr>
      <w:r w:rsidRPr="00BD0D38">
        <w:rPr>
          <w:rFonts w:ascii="Times New Roman" w:hAnsi="Times New Roman" w:cs="Times New Roman"/>
          <w:sz w:val="24"/>
          <w:lang w:val="sv-SE"/>
        </w:rPr>
        <w:t>Bibliography</w:t>
      </w:r>
    </w:p>
    <w:p w14:paraId="11ACF7AE"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Arial"/>
          <w:i/>
          <w:spacing w:val="-2"/>
          <w:sz w:val="24"/>
          <w:szCs w:val="24"/>
          <w:lang w:val="sv-SE"/>
        </w:rPr>
        <w:fldChar w:fldCharType="begin" w:fldLock="1"/>
      </w:r>
      <w:r w:rsidRPr="005D1532">
        <w:rPr>
          <w:rFonts w:ascii="Arial Narrow" w:hAnsi="Arial Narrow" w:cs="Arial"/>
          <w:i/>
          <w:spacing w:val="-2"/>
          <w:sz w:val="24"/>
          <w:szCs w:val="24"/>
          <w:lang w:val="id-ID"/>
        </w:rPr>
        <w:instrText xml:space="preserve">ADDIN Mendeley Bibliography CSL_BIBLIOGRAPHY </w:instrText>
      </w:r>
      <w:r w:rsidRPr="005D1532">
        <w:rPr>
          <w:rFonts w:ascii="Arial Narrow" w:hAnsi="Arial Narrow" w:cs="Arial"/>
          <w:i/>
          <w:spacing w:val="-2"/>
          <w:sz w:val="24"/>
          <w:szCs w:val="24"/>
          <w:lang w:val="sv-SE"/>
        </w:rPr>
        <w:fldChar w:fldCharType="separate"/>
      </w:r>
      <w:r w:rsidRPr="005D1532">
        <w:rPr>
          <w:rFonts w:ascii="Arial Narrow" w:hAnsi="Arial Narrow" w:cs="Times New Roman"/>
          <w:noProof/>
          <w:kern w:val="0"/>
          <w:sz w:val="24"/>
          <w:szCs w:val="24"/>
          <w:lang w:val="sv-SE"/>
        </w:rPr>
        <w:t xml:space="preserve">W. H. O. (2018). </w:t>
      </w:r>
      <w:r w:rsidRPr="005D1532">
        <w:rPr>
          <w:rFonts w:ascii="Arial Narrow" w:hAnsi="Arial Narrow" w:cs="Times New Roman"/>
          <w:i/>
          <w:iCs/>
          <w:noProof/>
          <w:kern w:val="0"/>
          <w:sz w:val="24"/>
          <w:szCs w:val="24"/>
        </w:rPr>
        <w:t>Oral Health</w:t>
      </w:r>
      <w:r w:rsidRPr="005D1532">
        <w:rPr>
          <w:rFonts w:ascii="Arial Narrow" w:hAnsi="Arial Narrow" w:cs="Times New Roman"/>
          <w:noProof/>
          <w:kern w:val="0"/>
          <w:sz w:val="24"/>
          <w:szCs w:val="24"/>
        </w:rPr>
        <w:t>.</w:t>
      </w:r>
    </w:p>
    <w:p w14:paraId="33A685A9"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rPr>
        <w:t xml:space="preserve">Al-Qahtani, S. M., Razak, P. A., &amp; Khan, S. D. A. A. (2020). Knowledge and practice of preventive measures for oral health care among male intermediate schoolchildren in abha, Saudi Arabia. </w:t>
      </w:r>
      <w:r w:rsidRPr="005D1532">
        <w:rPr>
          <w:rFonts w:ascii="Arial Narrow" w:hAnsi="Arial Narrow" w:cs="Times New Roman"/>
          <w:i/>
          <w:iCs/>
          <w:noProof/>
          <w:kern w:val="0"/>
          <w:sz w:val="24"/>
          <w:szCs w:val="24"/>
        </w:rPr>
        <w:t>International Journal of Environmental Research and Public Health</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17</w:t>
      </w:r>
      <w:r w:rsidRPr="005D1532">
        <w:rPr>
          <w:rFonts w:ascii="Arial Narrow" w:hAnsi="Arial Narrow" w:cs="Times New Roman"/>
          <w:noProof/>
          <w:kern w:val="0"/>
          <w:sz w:val="24"/>
          <w:szCs w:val="24"/>
        </w:rPr>
        <w:t>(3). https://doi.org/10.3390/ijerph17030703</w:t>
      </w:r>
    </w:p>
    <w:p w14:paraId="166267C2"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lang w:val="sv-SE"/>
        </w:rPr>
        <w:t xml:space="preserve">Antonio, A. G., Maia, L. C., Vianna, R. B. de C., &amp; Quintanilha, L. E. L. P. (2005). </w:t>
      </w:r>
      <w:r w:rsidRPr="005D1532">
        <w:rPr>
          <w:rFonts w:ascii="Arial Narrow" w:hAnsi="Arial Narrow" w:cs="Times New Roman"/>
          <w:noProof/>
          <w:kern w:val="0"/>
          <w:sz w:val="24"/>
          <w:szCs w:val="24"/>
        </w:rPr>
        <w:t xml:space="preserve">Preventive strategies in oral health promotion. </w:t>
      </w:r>
      <w:r w:rsidRPr="005D1532">
        <w:rPr>
          <w:rFonts w:ascii="Arial Narrow" w:hAnsi="Arial Narrow" w:cs="Times New Roman"/>
          <w:i/>
          <w:iCs/>
          <w:noProof/>
          <w:kern w:val="0"/>
          <w:sz w:val="24"/>
          <w:szCs w:val="24"/>
        </w:rPr>
        <w:t>Ciência &amp; Saúde Coletiva</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10</w:t>
      </w:r>
      <w:r w:rsidRPr="005D1532">
        <w:rPr>
          <w:rFonts w:ascii="Arial Narrow" w:hAnsi="Arial Narrow" w:cs="Times New Roman"/>
          <w:noProof/>
          <w:kern w:val="0"/>
          <w:sz w:val="24"/>
          <w:szCs w:val="24"/>
        </w:rPr>
        <w:t>(suppl), 279–286. https://doi.org/10.1590/s1413-81232005000500028</w:t>
      </w:r>
    </w:p>
    <w:p w14:paraId="58333C44"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rPr>
        <w:t xml:space="preserve">Barik, A. L., Purwaningtyas, R. A., &amp; Astuti, D. (2019). The Effectiveness of Traditional Media (Leaflet and Poster) to Promote Health in a Community Setting in the Digital Era: A Systematic Review. </w:t>
      </w:r>
      <w:r w:rsidRPr="005D1532">
        <w:rPr>
          <w:rFonts w:ascii="Arial Narrow" w:hAnsi="Arial Narrow" w:cs="Times New Roman"/>
          <w:i/>
          <w:iCs/>
          <w:noProof/>
          <w:kern w:val="0"/>
          <w:sz w:val="24"/>
          <w:szCs w:val="24"/>
        </w:rPr>
        <w:t>Jurnal Ners</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14</w:t>
      </w:r>
      <w:r w:rsidRPr="005D1532">
        <w:rPr>
          <w:rFonts w:ascii="Arial Narrow" w:hAnsi="Arial Narrow" w:cs="Times New Roman"/>
          <w:noProof/>
          <w:kern w:val="0"/>
          <w:sz w:val="24"/>
          <w:szCs w:val="24"/>
        </w:rPr>
        <w:t>(3 Special Issue), 76–80. https://doi.org/10.20473/jn.v14i3.16988</w:t>
      </w:r>
    </w:p>
    <w:p w14:paraId="409BDEC9"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rPr>
        <w:t xml:space="preserve">Ermawati, T., Yani, R. W. E., &amp; Syafriadi, M. (2021). Improving oral and dental health through counseling to elementary school students in Jember. </w:t>
      </w:r>
      <w:r w:rsidRPr="005D1532">
        <w:rPr>
          <w:rFonts w:ascii="Arial Narrow" w:hAnsi="Arial Narrow" w:cs="Times New Roman"/>
          <w:i/>
          <w:iCs/>
          <w:noProof/>
          <w:kern w:val="0"/>
          <w:sz w:val="24"/>
          <w:szCs w:val="24"/>
        </w:rPr>
        <w:t>Journal of Community Service and Empowerment</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2</w:t>
      </w:r>
      <w:r w:rsidRPr="005D1532">
        <w:rPr>
          <w:rFonts w:ascii="Arial Narrow" w:hAnsi="Arial Narrow" w:cs="Times New Roman"/>
          <w:noProof/>
          <w:kern w:val="0"/>
          <w:sz w:val="24"/>
          <w:szCs w:val="24"/>
        </w:rPr>
        <w:t>(1), 1–7. https://doi.org/10.22219/jcse.v2i1.16034</w:t>
      </w:r>
    </w:p>
    <w:p w14:paraId="36BE95F1"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lang w:val="sv-SE"/>
        </w:rPr>
      </w:pPr>
      <w:r w:rsidRPr="005D1532">
        <w:rPr>
          <w:rFonts w:ascii="Arial Narrow" w:hAnsi="Arial Narrow" w:cs="Times New Roman"/>
          <w:noProof/>
          <w:kern w:val="0"/>
          <w:sz w:val="24"/>
          <w:szCs w:val="24"/>
          <w:lang w:val="sv-SE"/>
        </w:rPr>
        <w:t xml:space="preserve">Jauharie, A. P. (2016). Pengaruh Promosi Kesehatan dengan media leaflet terhadap Peningkatan Pengetahuan. </w:t>
      </w:r>
      <w:r w:rsidRPr="005D1532">
        <w:rPr>
          <w:rFonts w:ascii="Arial Narrow" w:hAnsi="Arial Narrow" w:cs="Times New Roman"/>
          <w:i/>
          <w:iCs/>
          <w:noProof/>
          <w:kern w:val="0"/>
          <w:sz w:val="24"/>
          <w:szCs w:val="24"/>
          <w:lang w:val="sv-SE"/>
        </w:rPr>
        <w:t>Jurnal Mahasiswa PSPD (Dental Health Journal)</w:t>
      </w:r>
      <w:r w:rsidRPr="005D1532">
        <w:rPr>
          <w:rFonts w:ascii="Arial Narrow" w:hAnsi="Arial Narrow" w:cs="Times New Roman"/>
          <w:noProof/>
          <w:kern w:val="0"/>
          <w:sz w:val="24"/>
          <w:szCs w:val="24"/>
          <w:lang w:val="sv-SE"/>
        </w:rPr>
        <w:t>.</w:t>
      </w:r>
    </w:p>
    <w:p w14:paraId="488B1EFC"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lang w:val="sv-SE"/>
        </w:rPr>
        <w:lastRenderedPageBreak/>
        <w:t xml:space="preserve">Jepsen, S., Blanco, J., Buchalla, W., Carvalho, J. C., Dietrich, T., Dörfer, C., Eaton, K. A., Figuero, E., Frencken, J. E., Graziani, F., Higham, S. M., Kocher, T., Maltz, M., Ortiz-Vigon, A., Schmoeckel, J., Sculean, A., Tenuta, L. M. A., van der Veen, M. H., &amp; Machiulskiene, V. (2017). </w:t>
      </w:r>
      <w:r w:rsidRPr="005D1532">
        <w:rPr>
          <w:rFonts w:ascii="Arial Narrow" w:hAnsi="Arial Narrow" w:cs="Times New Roman"/>
          <w:noProof/>
          <w:kern w:val="0"/>
          <w:sz w:val="24"/>
          <w:szCs w:val="24"/>
        </w:rPr>
        <w:t xml:space="preserve">Prevention and control of dental caries and periodontal diseases at individual and population level: consensus report of group 3 of joint EFP/ORCA workshop on the boundaries between caries and periodontal diseases. </w:t>
      </w:r>
      <w:r w:rsidRPr="005D1532">
        <w:rPr>
          <w:rFonts w:ascii="Arial Narrow" w:hAnsi="Arial Narrow" w:cs="Times New Roman"/>
          <w:i/>
          <w:iCs/>
          <w:noProof/>
          <w:kern w:val="0"/>
          <w:sz w:val="24"/>
          <w:szCs w:val="24"/>
        </w:rPr>
        <w:t>Journal of Clinical Periodontology</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44</w:t>
      </w:r>
      <w:r w:rsidRPr="005D1532">
        <w:rPr>
          <w:rFonts w:ascii="Arial Narrow" w:hAnsi="Arial Narrow" w:cs="Times New Roman"/>
          <w:noProof/>
          <w:kern w:val="0"/>
          <w:sz w:val="24"/>
          <w:szCs w:val="24"/>
        </w:rPr>
        <w:t>, S85–S93. https://doi.org/10.1111/jcpe.12687</w:t>
      </w:r>
    </w:p>
    <w:p w14:paraId="1C307A9F"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lang w:val="sv-SE"/>
        </w:rPr>
        <w:t xml:space="preserve">Manullang, C. E., &amp; Rosalina, E. (2021). Pengaruh Promosi Kesehatan Dengan Media Leaflet Terhadap Peningkatan Pengetahuan Pencegahan Hipertensi Pada Lansia Di Kampung Sawah Jakarta Utara. </w:t>
      </w:r>
      <w:r w:rsidRPr="005D1532">
        <w:rPr>
          <w:rFonts w:ascii="Arial Narrow" w:hAnsi="Arial Narrow" w:cs="Times New Roman"/>
          <w:i/>
          <w:iCs/>
          <w:noProof/>
          <w:kern w:val="0"/>
          <w:sz w:val="24"/>
          <w:szCs w:val="24"/>
        </w:rPr>
        <w:t>Carolus Journal of Nursing</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4</w:t>
      </w:r>
      <w:r w:rsidRPr="005D1532">
        <w:rPr>
          <w:rFonts w:ascii="Arial Narrow" w:hAnsi="Arial Narrow" w:cs="Times New Roman"/>
          <w:noProof/>
          <w:kern w:val="0"/>
          <w:sz w:val="24"/>
          <w:szCs w:val="24"/>
        </w:rPr>
        <w:t>(1), 1–12. https://doi.org/10.37480/cjon.v4i1.67</w:t>
      </w:r>
    </w:p>
    <w:p w14:paraId="0ADCEDC5"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rPr>
        <w:t xml:space="preserve">Putri, K. D., Semiarty, R., &amp; Linosefa, L. (2021). </w:t>
      </w:r>
      <w:r w:rsidRPr="005D1532">
        <w:rPr>
          <w:rFonts w:ascii="Arial Narrow" w:hAnsi="Arial Narrow" w:cs="Times New Roman"/>
          <w:noProof/>
          <w:kern w:val="0"/>
          <w:sz w:val="24"/>
          <w:szCs w:val="24"/>
          <w:lang w:val="sv-SE"/>
        </w:rPr>
        <w:t xml:space="preserve">Perbedaan Efektivitas Media Promosi Kesehatan Leaflet dengan Video TOSS TB Terhadap Tingkat Pengetahuan dan Sikap Masyarakat di Wilayah Kerja Puskesmas Andalas. </w:t>
      </w:r>
      <w:r w:rsidRPr="005D1532">
        <w:rPr>
          <w:rFonts w:ascii="Arial Narrow" w:hAnsi="Arial Narrow" w:cs="Times New Roman"/>
          <w:i/>
          <w:iCs/>
          <w:noProof/>
          <w:kern w:val="0"/>
          <w:sz w:val="24"/>
          <w:szCs w:val="24"/>
        </w:rPr>
        <w:t>Jurnal Ilmu Kesehatan Indonesia</w:t>
      </w:r>
      <w:r w:rsidRPr="005D1532">
        <w:rPr>
          <w:rFonts w:ascii="Arial Narrow" w:hAnsi="Arial Narrow" w:cs="Times New Roman"/>
          <w:noProof/>
          <w:kern w:val="0"/>
          <w:sz w:val="24"/>
          <w:szCs w:val="24"/>
        </w:rPr>
        <w:t xml:space="preserve">, </w:t>
      </w:r>
      <w:r w:rsidRPr="005D1532">
        <w:rPr>
          <w:rFonts w:ascii="Arial Narrow" w:hAnsi="Arial Narrow" w:cs="Times New Roman"/>
          <w:i/>
          <w:iCs/>
          <w:noProof/>
          <w:kern w:val="0"/>
          <w:sz w:val="24"/>
          <w:szCs w:val="24"/>
        </w:rPr>
        <w:t>1</w:t>
      </w:r>
      <w:r w:rsidRPr="005D1532">
        <w:rPr>
          <w:rFonts w:ascii="Arial Narrow" w:hAnsi="Arial Narrow" w:cs="Times New Roman"/>
          <w:noProof/>
          <w:kern w:val="0"/>
          <w:sz w:val="24"/>
          <w:szCs w:val="24"/>
        </w:rPr>
        <w:t>(3), 343–351. https://doi.org/10.25077/jikesi.v1i3.85</w:t>
      </w:r>
    </w:p>
    <w:p w14:paraId="589A6765"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lang w:val="sv-SE"/>
        </w:rPr>
      </w:pPr>
      <w:r w:rsidRPr="005D1532">
        <w:rPr>
          <w:rFonts w:ascii="Arial Narrow" w:hAnsi="Arial Narrow" w:cs="Times New Roman"/>
          <w:noProof/>
          <w:kern w:val="0"/>
          <w:sz w:val="24"/>
          <w:szCs w:val="24"/>
        </w:rPr>
        <w:t xml:space="preserve">Riskesdas. </w:t>
      </w:r>
      <w:r w:rsidRPr="005D1532">
        <w:rPr>
          <w:rFonts w:ascii="Arial Narrow" w:hAnsi="Arial Narrow" w:cs="Times New Roman"/>
          <w:noProof/>
          <w:kern w:val="0"/>
          <w:sz w:val="24"/>
          <w:szCs w:val="24"/>
          <w:lang w:val="sv-SE"/>
        </w:rPr>
        <w:t xml:space="preserve">(2018a). </w:t>
      </w:r>
      <w:r w:rsidRPr="005D1532">
        <w:rPr>
          <w:rFonts w:ascii="Arial Narrow" w:hAnsi="Arial Narrow" w:cs="Times New Roman"/>
          <w:i/>
          <w:iCs/>
          <w:noProof/>
          <w:kern w:val="0"/>
          <w:sz w:val="24"/>
          <w:szCs w:val="24"/>
          <w:lang w:val="sv-SE"/>
        </w:rPr>
        <w:t>2018, Laporan Provinsi Bali</w:t>
      </w:r>
      <w:r w:rsidRPr="005D1532">
        <w:rPr>
          <w:rFonts w:ascii="Arial Narrow" w:hAnsi="Arial Narrow" w:cs="Times New Roman"/>
          <w:noProof/>
          <w:kern w:val="0"/>
          <w:sz w:val="24"/>
          <w:szCs w:val="24"/>
          <w:lang w:val="sv-SE"/>
        </w:rPr>
        <w:t>.</w:t>
      </w:r>
    </w:p>
    <w:p w14:paraId="367D7CD0"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lang w:val="sv-SE"/>
        </w:rPr>
      </w:pPr>
      <w:r w:rsidRPr="005D1532">
        <w:rPr>
          <w:rFonts w:ascii="Arial Narrow" w:hAnsi="Arial Narrow" w:cs="Times New Roman"/>
          <w:noProof/>
          <w:kern w:val="0"/>
          <w:sz w:val="24"/>
          <w:szCs w:val="24"/>
          <w:lang w:val="sv-SE"/>
        </w:rPr>
        <w:t xml:space="preserve">Riskesdas. (2018b). </w:t>
      </w:r>
      <w:r w:rsidRPr="005D1532">
        <w:rPr>
          <w:rFonts w:ascii="Arial Narrow" w:hAnsi="Arial Narrow" w:cs="Times New Roman"/>
          <w:i/>
          <w:iCs/>
          <w:noProof/>
          <w:kern w:val="0"/>
          <w:sz w:val="24"/>
          <w:szCs w:val="24"/>
          <w:lang w:val="sv-SE"/>
        </w:rPr>
        <w:t>Badan Penelitian dan Pengembangan Kesehatan Kementerian RI tahun 2018</w:t>
      </w:r>
      <w:r w:rsidRPr="005D1532">
        <w:rPr>
          <w:rFonts w:ascii="Arial Narrow" w:hAnsi="Arial Narrow" w:cs="Times New Roman"/>
          <w:noProof/>
          <w:kern w:val="0"/>
          <w:sz w:val="24"/>
          <w:szCs w:val="24"/>
          <w:lang w:val="sv-SE"/>
        </w:rPr>
        <w:t>.</w:t>
      </w:r>
    </w:p>
    <w:p w14:paraId="0729F95A"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lang w:val="sv-SE"/>
        </w:rPr>
      </w:pPr>
      <w:r w:rsidRPr="005D1532">
        <w:rPr>
          <w:rFonts w:ascii="Arial Narrow" w:hAnsi="Arial Narrow" w:cs="Times New Roman"/>
          <w:noProof/>
          <w:kern w:val="0"/>
          <w:sz w:val="24"/>
          <w:szCs w:val="24"/>
          <w:lang w:val="sv-SE"/>
        </w:rPr>
        <w:t xml:space="preserve">Roza. (2012). Kelayakan Media Leaflet. </w:t>
      </w:r>
      <w:r w:rsidRPr="005D1532">
        <w:rPr>
          <w:rFonts w:ascii="Arial Narrow" w:hAnsi="Arial Narrow" w:cs="Times New Roman"/>
          <w:i/>
          <w:iCs/>
          <w:noProof/>
          <w:kern w:val="0"/>
          <w:sz w:val="24"/>
          <w:szCs w:val="24"/>
          <w:lang w:val="sv-SE"/>
        </w:rPr>
        <w:t>Jurnal.Untur.Ac.Id.</w:t>
      </w:r>
    </w:p>
    <w:p w14:paraId="704FB79A"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lang w:val="sv-SE"/>
        </w:rPr>
        <w:t xml:space="preserve">Sariningsih, E. (2012). </w:t>
      </w:r>
      <w:r w:rsidRPr="005D1532">
        <w:rPr>
          <w:rFonts w:ascii="Arial Narrow" w:hAnsi="Arial Narrow" w:cs="Times New Roman"/>
          <w:i/>
          <w:iCs/>
          <w:noProof/>
          <w:kern w:val="0"/>
          <w:sz w:val="24"/>
          <w:szCs w:val="24"/>
          <w:lang w:val="sv-SE"/>
        </w:rPr>
        <w:t>Gigi Sehat dan Poket Periodontal sebagai Fokus Infeksi</w:t>
      </w:r>
      <w:r w:rsidRPr="005D1532">
        <w:rPr>
          <w:rFonts w:ascii="Arial Narrow" w:hAnsi="Arial Narrow" w:cs="Times New Roman"/>
          <w:noProof/>
          <w:kern w:val="0"/>
          <w:sz w:val="24"/>
          <w:szCs w:val="24"/>
          <w:lang w:val="sv-SE"/>
        </w:rPr>
        <w:t xml:space="preserve">. </w:t>
      </w:r>
      <w:r w:rsidRPr="005D1532">
        <w:rPr>
          <w:rFonts w:ascii="Arial Narrow" w:hAnsi="Arial Narrow" w:cs="Times New Roman"/>
          <w:noProof/>
          <w:kern w:val="0"/>
          <w:sz w:val="24"/>
          <w:szCs w:val="24"/>
        </w:rPr>
        <w:t>Elex Media Komputindo.</w:t>
      </w:r>
    </w:p>
    <w:p w14:paraId="3D437AD8"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cs="Times New Roman"/>
          <w:noProof/>
          <w:kern w:val="0"/>
          <w:sz w:val="24"/>
          <w:szCs w:val="24"/>
        </w:rPr>
      </w:pPr>
      <w:r w:rsidRPr="005D1532">
        <w:rPr>
          <w:rFonts w:ascii="Arial Narrow" w:hAnsi="Arial Narrow" w:cs="Times New Roman"/>
          <w:noProof/>
          <w:kern w:val="0"/>
          <w:sz w:val="24"/>
          <w:szCs w:val="24"/>
        </w:rPr>
        <w:t xml:space="preserve">Sugiyono. (2016). </w:t>
      </w:r>
      <w:r w:rsidRPr="005D1532">
        <w:rPr>
          <w:rFonts w:ascii="Arial Narrow" w:hAnsi="Arial Narrow" w:cs="Times New Roman"/>
          <w:i/>
          <w:iCs/>
          <w:noProof/>
          <w:kern w:val="0"/>
          <w:sz w:val="24"/>
          <w:szCs w:val="24"/>
        </w:rPr>
        <w:t>Metode Penelitian Kuantitatif,Kualitatif,dan R&amp;D</w:t>
      </w:r>
      <w:r w:rsidRPr="005D1532">
        <w:rPr>
          <w:rFonts w:ascii="Arial Narrow" w:hAnsi="Arial Narrow" w:cs="Times New Roman"/>
          <w:noProof/>
          <w:kern w:val="0"/>
          <w:sz w:val="24"/>
          <w:szCs w:val="24"/>
        </w:rPr>
        <w:t>. PT Alfabel.</w:t>
      </w:r>
    </w:p>
    <w:p w14:paraId="60CC7986" w14:textId="77777777" w:rsidR="00BD0D38" w:rsidRPr="005D1532" w:rsidRDefault="00BD0D38" w:rsidP="00BD0D38">
      <w:pPr>
        <w:widowControl w:val="0"/>
        <w:autoSpaceDE w:val="0"/>
        <w:autoSpaceDN w:val="0"/>
        <w:adjustRightInd w:val="0"/>
        <w:spacing w:line="240" w:lineRule="auto"/>
        <w:ind w:left="480" w:hanging="480"/>
        <w:jc w:val="both"/>
        <w:rPr>
          <w:rFonts w:ascii="Arial Narrow" w:hAnsi="Arial Narrow"/>
          <w:noProof/>
          <w:sz w:val="24"/>
          <w:lang w:val="sv-SE"/>
        </w:rPr>
      </w:pPr>
      <w:r w:rsidRPr="005D1532">
        <w:rPr>
          <w:rFonts w:ascii="Arial Narrow" w:hAnsi="Arial Narrow" w:cs="Times New Roman"/>
          <w:noProof/>
          <w:kern w:val="0"/>
          <w:sz w:val="24"/>
          <w:szCs w:val="24"/>
          <w:lang w:val="sv-SE"/>
        </w:rPr>
        <w:t xml:space="preserve">Taringan, R. (2013). </w:t>
      </w:r>
      <w:r w:rsidRPr="005D1532">
        <w:rPr>
          <w:rFonts w:ascii="Arial Narrow" w:hAnsi="Arial Narrow" w:cs="Times New Roman"/>
          <w:i/>
          <w:iCs/>
          <w:noProof/>
          <w:kern w:val="0"/>
          <w:sz w:val="24"/>
          <w:szCs w:val="24"/>
          <w:lang w:val="sv-SE"/>
        </w:rPr>
        <w:t>Karies Gigi</w:t>
      </w:r>
      <w:r w:rsidRPr="005D1532">
        <w:rPr>
          <w:rFonts w:ascii="Arial Narrow" w:hAnsi="Arial Narrow" w:cs="Times New Roman"/>
          <w:noProof/>
          <w:kern w:val="0"/>
          <w:sz w:val="24"/>
          <w:szCs w:val="24"/>
          <w:lang w:val="sv-SE"/>
        </w:rPr>
        <w:t>. EGC.</w:t>
      </w:r>
    </w:p>
    <w:p w14:paraId="1F5EE758" w14:textId="77777777" w:rsidR="00BD0D38" w:rsidRDefault="00BD0D38" w:rsidP="00BD0D38">
      <w:pPr>
        <w:spacing w:before="1"/>
        <w:jc w:val="both"/>
        <w:rPr>
          <w:rFonts w:ascii="Arial Narrow" w:hAnsi="Arial Narrow" w:cs="Arial"/>
          <w:i/>
          <w:spacing w:val="-2"/>
          <w:sz w:val="24"/>
          <w:szCs w:val="24"/>
          <w:lang w:val="sv-SE"/>
        </w:rPr>
      </w:pPr>
      <w:r w:rsidRPr="005D1532">
        <w:rPr>
          <w:rFonts w:ascii="Arial Narrow" w:hAnsi="Arial Narrow" w:cs="Arial"/>
          <w:i/>
          <w:spacing w:val="-2"/>
          <w:sz w:val="24"/>
          <w:szCs w:val="24"/>
          <w:lang w:val="sv-SE"/>
        </w:rPr>
        <w:fldChar w:fldCharType="end"/>
      </w:r>
    </w:p>
    <w:p w14:paraId="1C9EC309" w14:textId="77777777" w:rsidR="00BD0D38" w:rsidRPr="00BD0D38" w:rsidRDefault="00BD0D38" w:rsidP="00BD0D38">
      <w:pPr>
        <w:tabs>
          <w:tab w:val="left" w:pos="1390"/>
        </w:tabs>
        <w:jc w:val="both"/>
        <w:rPr>
          <w:rFonts w:ascii="Times New Roman" w:hAnsi="Times New Roman" w:cs="Times New Roman"/>
          <w:sz w:val="24"/>
          <w:lang w:val="sv-SE"/>
        </w:rPr>
      </w:pPr>
    </w:p>
    <w:sectPr w:rsidR="00BD0D38" w:rsidRPr="00BD0D38" w:rsidSect="009A0392">
      <w:footerReference w:type="default" r:id="rId8"/>
      <w:pgSz w:w="11909" w:h="16834" w:code="9"/>
      <w:pgMar w:top="1728" w:right="1728" w:bottom="172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DD74" w14:textId="77777777" w:rsidR="00D14C51" w:rsidRDefault="00D14C51">
      <w:pPr>
        <w:spacing w:after="0" w:line="240" w:lineRule="auto"/>
      </w:pPr>
      <w:r>
        <w:separator/>
      </w:r>
    </w:p>
  </w:endnote>
  <w:endnote w:type="continuationSeparator" w:id="0">
    <w:p w14:paraId="17B79C10" w14:textId="77777777" w:rsidR="00D14C51" w:rsidRDefault="00D1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43F4" w14:textId="77777777" w:rsidR="00874F0C" w:rsidRDefault="00874F0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2206" w14:textId="77777777" w:rsidR="00D14C51" w:rsidRDefault="00D14C51">
      <w:pPr>
        <w:spacing w:after="0" w:line="240" w:lineRule="auto"/>
      </w:pPr>
      <w:r>
        <w:separator/>
      </w:r>
    </w:p>
  </w:footnote>
  <w:footnote w:type="continuationSeparator" w:id="0">
    <w:p w14:paraId="0DEA702F" w14:textId="77777777" w:rsidR="00D14C51" w:rsidRDefault="00D14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8A1"/>
    <w:multiLevelType w:val="hybridMultilevel"/>
    <w:tmpl w:val="CDD05D0C"/>
    <w:lvl w:ilvl="0" w:tplc="FCCCD044">
      <w:start w:val="1"/>
      <w:numFmt w:val="upperLetter"/>
      <w:lvlText w:val="%1."/>
      <w:lvlJc w:val="left"/>
      <w:pPr>
        <w:ind w:left="1153" w:hanging="567"/>
      </w:pPr>
      <w:rPr>
        <w:rFonts w:ascii="Times New Roman" w:eastAsia="Times New Roman" w:hAnsi="Times New Roman" w:cs="Times New Roman" w:hint="default"/>
        <w:b w:val="0"/>
        <w:bCs w:val="0"/>
        <w:i w:val="0"/>
        <w:iCs w:val="0"/>
        <w:spacing w:val="-6"/>
        <w:w w:val="99"/>
        <w:sz w:val="24"/>
        <w:szCs w:val="24"/>
        <w:lang w:val="id" w:eastAsia="en-US" w:bidi="ar-SA"/>
      </w:rPr>
    </w:lvl>
    <w:lvl w:ilvl="1" w:tplc="4656C072">
      <w:start w:val="1"/>
      <w:numFmt w:val="decimal"/>
      <w:lvlText w:val="%2."/>
      <w:lvlJc w:val="left"/>
      <w:pPr>
        <w:ind w:left="1153" w:hanging="567"/>
      </w:pPr>
      <w:rPr>
        <w:rFonts w:ascii="Times New Roman" w:eastAsia="Times New Roman" w:hAnsi="Times New Roman" w:cs="Times New Roman" w:hint="default"/>
        <w:b w:val="0"/>
        <w:bCs w:val="0"/>
        <w:i w:val="0"/>
        <w:iCs w:val="0"/>
        <w:w w:val="100"/>
        <w:sz w:val="24"/>
        <w:szCs w:val="24"/>
        <w:lang w:val="id" w:eastAsia="en-US" w:bidi="ar-SA"/>
      </w:rPr>
    </w:lvl>
    <w:lvl w:ilvl="2" w:tplc="6742EE80">
      <w:numFmt w:val="bullet"/>
      <w:lvlText w:val="•"/>
      <w:lvlJc w:val="left"/>
      <w:pPr>
        <w:ind w:left="2816" w:hanging="567"/>
      </w:pPr>
      <w:rPr>
        <w:rFonts w:hint="default"/>
        <w:lang w:val="id" w:eastAsia="en-US" w:bidi="ar-SA"/>
      </w:rPr>
    </w:lvl>
    <w:lvl w:ilvl="3" w:tplc="31284B46">
      <w:numFmt w:val="bullet"/>
      <w:lvlText w:val="•"/>
      <w:lvlJc w:val="left"/>
      <w:pPr>
        <w:ind w:left="3645" w:hanging="567"/>
      </w:pPr>
      <w:rPr>
        <w:rFonts w:hint="default"/>
        <w:lang w:val="id" w:eastAsia="en-US" w:bidi="ar-SA"/>
      </w:rPr>
    </w:lvl>
    <w:lvl w:ilvl="4" w:tplc="24BCB00E">
      <w:numFmt w:val="bullet"/>
      <w:lvlText w:val="•"/>
      <w:lvlJc w:val="left"/>
      <w:pPr>
        <w:ind w:left="4473" w:hanging="567"/>
      </w:pPr>
      <w:rPr>
        <w:rFonts w:hint="default"/>
        <w:lang w:val="id" w:eastAsia="en-US" w:bidi="ar-SA"/>
      </w:rPr>
    </w:lvl>
    <w:lvl w:ilvl="5" w:tplc="9ADA1C96">
      <w:numFmt w:val="bullet"/>
      <w:lvlText w:val="•"/>
      <w:lvlJc w:val="left"/>
      <w:pPr>
        <w:ind w:left="5302" w:hanging="567"/>
      </w:pPr>
      <w:rPr>
        <w:rFonts w:hint="default"/>
        <w:lang w:val="id" w:eastAsia="en-US" w:bidi="ar-SA"/>
      </w:rPr>
    </w:lvl>
    <w:lvl w:ilvl="6" w:tplc="151078C8">
      <w:numFmt w:val="bullet"/>
      <w:lvlText w:val="•"/>
      <w:lvlJc w:val="left"/>
      <w:pPr>
        <w:ind w:left="6130" w:hanging="567"/>
      </w:pPr>
      <w:rPr>
        <w:rFonts w:hint="default"/>
        <w:lang w:val="id" w:eastAsia="en-US" w:bidi="ar-SA"/>
      </w:rPr>
    </w:lvl>
    <w:lvl w:ilvl="7" w:tplc="31EC92B2">
      <w:numFmt w:val="bullet"/>
      <w:lvlText w:val="•"/>
      <w:lvlJc w:val="left"/>
      <w:pPr>
        <w:ind w:left="6958" w:hanging="567"/>
      </w:pPr>
      <w:rPr>
        <w:rFonts w:hint="default"/>
        <w:lang w:val="id" w:eastAsia="en-US" w:bidi="ar-SA"/>
      </w:rPr>
    </w:lvl>
    <w:lvl w:ilvl="8" w:tplc="5748BB10">
      <w:numFmt w:val="bullet"/>
      <w:lvlText w:val="•"/>
      <w:lvlJc w:val="left"/>
      <w:pPr>
        <w:ind w:left="7787" w:hanging="567"/>
      </w:pPr>
      <w:rPr>
        <w:rFonts w:hint="default"/>
        <w:lang w:val="id" w:eastAsia="en-US" w:bidi="ar-SA"/>
      </w:rPr>
    </w:lvl>
  </w:abstractNum>
  <w:num w:numId="1" w16cid:durableId="145517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D5"/>
    <w:rsid w:val="00025D56"/>
    <w:rsid w:val="00042CD7"/>
    <w:rsid w:val="0005517D"/>
    <w:rsid w:val="000637D5"/>
    <w:rsid w:val="00087E28"/>
    <w:rsid w:val="000A43C7"/>
    <w:rsid w:val="000B10A6"/>
    <w:rsid w:val="000B196B"/>
    <w:rsid w:val="000F3220"/>
    <w:rsid w:val="0013144E"/>
    <w:rsid w:val="00155187"/>
    <w:rsid w:val="00175990"/>
    <w:rsid w:val="00181B6E"/>
    <w:rsid w:val="001A160A"/>
    <w:rsid w:val="002351BD"/>
    <w:rsid w:val="00271229"/>
    <w:rsid w:val="00273CF0"/>
    <w:rsid w:val="00281322"/>
    <w:rsid w:val="00290D06"/>
    <w:rsid w:val="002B5F56"/>
    <w:rsid w:val="00350F29"/>
    <w:rsid w:val="00394088"/>
    <w:rsid w:val="003A554E"/>
    <w:rsid w:val="005109AE"/>
    <w:rsid w:val="00582ADC"/>
    <w:rsid w:val="005A6D62"/>
    <w:rsid w:val="005C4BD3"/>
    <w:rsid w:val="005D1532"/>
    <w:rsid w:val="005F11E3"/>
    <w:rsid w:val="00693890"/>
    <w:rsid w:val="006D1814"/>
    <w:rsid w:val="006E7478"/>
    <w:rsid w:val="007549E4"/>
    <w:rsid w:val="00802E79"/>
    <w:rsid w:val="00837AD2"/>
    <w:rsid w:val="00874F0C"/>
    <w:rsid w:val="008900C3"/>
    <w:rsid w:val="008A2FD5"/>
    <w:rsid w:val="008E7E5D"/>
    <w:rsid w:val="00902FA5"/>
    <w:rsid w:val="00907D5C"/>
    <w:rsid w:val="009527B8"/>
    <w:rsid w:val="00961E2F"/>
    <w:rsid w:val="00987499"/>
    <w:rsid w:val="009A0392"/>
    <w:rsid w:val="009D437A"/>
    <w:rsid w:val="009E69CC"/>
    <w:rsid w:val="00A0737A"/>
    <w:rsid w:val="00A166B1"/>
    <w:rsid w:val="00A608C8"/>
    <w:rsid w:val="00A9371B"/>
    <w:rsid w:val="00AA4B39"/>
    <w:rsid w:val="00AB75C7"/>
    <w:rsid w:val="00B02F19"/>
    <w:rsid w:val="00B1586A"/>
    <w:rsid w:val="00B3698E"/>
    <w:rsid w:val="00B45B56"/>
    <w:rsid w:val="00B522D2"/>
    <w:rsid w:val="00B64012"/>
    <w:rsid w:val="00BD0D38"/>
    <w:rsid w:val="00C6232E"/>
    <w:rsid w:val="00CB5B51"/>
    <w:rsid w:val="00D03D68"/>
    <w:rsid w:val="00D14C51"/>
    <w:rsid w:val="00D47164"/>
    <w:rsid w:val="00D9151B"/>
    <w:rsid w:val="00D94D1E"/>
    <w:rsid w:val="00DE3351"/>
    <w:rsid w:val="00E42618"/>
    <w:rsid w:val="00E70F8A"/>
    <w:rsid w:val="00F637A1"/>
    <w:rsid w:val="00FB13E0"/>
    <w:rsid w:val="00FF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202"/>
  <w15:chartTrackingRefBased/>
  <w15:docId w15:val="{AD0C5CDA-D5C5-41E2-BCF7-1AB169D9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AE"/>
  </w:style>
  <w:style w:type="paragraph" w:styleId="Heading1">
    <w:name w:val="heading 1"/>
    <w:basedOn w:val="Normal"/>
    <w:link w:val="Heading1Char"/>
    <w:uiPriority w:val="9"/>
    <w:qFormat/>
    <w:rsid w:val="00874F0C"/>
    <w:pPr>
      <w:widowControl w:val="0"/>
      <w:autoSpaceDE w:val="0"/>
      <w:autoSpaceDN w:val="0"/>
      <w:spacing w:after="0" w:line="240" w:lineRule="auto"/>
      <w:ind w:left="2003" w:right="2335"/>
      <w:jc w:val="center"/>
      <w:outlineLvl w:val="0"/>
    </w:pPr>
    <w:rPr>
      <w:rFonts w:ascii="Times New Roman" w:eastAsia="Times New Roman" w:hAnsi="Times New Roman" w:cs="Times New Roman"/>
      <w:b/>
      <w:bCs/>
      <w:kern w:val="0"/>
      <w:sz w:val="24"/>
      <w:szCs w:val="24"/>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F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D9151B"/>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D9151B"/>
    <w:rPr>
      <w:rFonts w:ascii="Times New Roman" w:eastAsia="Times New Roman" w:hAnsi="Times New Roman" w:cs="Times New Roman"/>
      <w:kern w:val="0"/>
      <w:sz w:val="24"/>
      <w:szCs w:val="24"/>
      <w:lang w:val="id"/>
      <w14:ligatures w14:val="none"/>
    </w:rPr>
  </w:style>
  <w:style w:type="character" w:styleId="Hyperlink">
    <w:name w:val="Hyperlink"/>
    <w:basedOn w:val="DefaultParagraphFont"/>
    <w:uiPriority w:val="99"/>
    <w:unhideWhenUsed/>
    <w:rsid w:val="00837AD2"/>
    <w:rPr>
      <w:color w:val="0563C1" w:themeColor="hyperlink"/>
      <w:u w:val="single"/>
    </w:rPr>
  </w:style>
  <w:style w:type="character" w:styleId="UnresolvedMention">
    <w:name w:val="Unresolved Mention"/>
    <w:basedOn w:val="DefaultParagraphFont"/>
    <w:uiPriority w:val="99"/>
    <w:semiHidden/>
    <w:unhideWhenUsed/>
    <w:rsid w:val="00837AD2"/>
    <w:rPr>
      <w:color w:val="605E5C"/>
      <w:shd w:val="clear" w:color="auto" w:fill="E1DFDD"/>
    </w:rPr>
  </w:style>
  <w:style w:type="character" w:customStyle="1" w:styleId="Heading1Char">
    <w:name w:val="Heading 1 Char"/>
    <w:basedOn w:val="DefaultParagraphFont"/>
    <w:link w:val="Heading1"/>
    <w:uiPriority w:val="9"/>
    <w:rsid w:val="00874F0C"/>
    <w:rPr>
      <w:rFonts w:ascii="Times New Roman" w:eastAsia="Times New Roman" w:hAnsi="Times New Roman" w:cs="Times New Roman"/>
      <w:b/>
      <w:bCs/>
      <w:kern w:val="0"/>
      <w:sz w:val="24"/>
      <w:szCs w:val="24"/>
      <w:lang w:val="id"/>
      <w14:ligatures w14:val="none"/>
    </w:rPr>
  </w:style>
  <w:style w:type="paragraph" w:styleId="HTMLPreformatted">
    <w:name w:val="HTML Preformatted"/>
    <w:basedOn w:val="Normal"/>
    <w:link w:val="HTMLPreformattedChar"/>
    <w:uiPriority w:val="99"/>
    <w:unhideWhenUsed/>
    <w:rsid w:val="00E70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70F8A"/>
    <w:rPr>
      <w:rFonts w:ascii="Courier New" w:eastAsia="Times New Roman" w:hAnsi="Courier New" w:cs="Courier New"/>
      <w:kern w:val="0"/>
      <w:sz w:val="20"/>
      <w:szCs w:val="20"/>
      <w14:ligatures w14:val="none"/>
    </w:rPr>
  </w:style>
  <w:style w:type="character" w:customStyle="1" w:styleId="y2iqfc">
    <w:name w:val="y2iqfc"/>
    <w:basedOn w:val="DefaultParagraphFont"/>
    <w:rsid w:val="00E70F8A"/>
  </w:style>
  <w:style w:type="paragraph" w:styleId="ListParagraph">
    <w:name w:val="List Paragraph"/>
    <w:aliases w:val="Body of text,Bagian Isi Tanpa Subjudul,TEXT,UGEX'Z,Heading 1 Char1"/>
    <w:basedOn w:val="Normal"/>
    <w:link w:val="ListParagraphChar"/>
    <w:uiPriority w:val="99"/>
    <w:qFormat/>
    <w:rsid w:val="008900C3"/>
    <w:pPr>
      <w:widowControl w:val="0"/>
      <w:autoSpaceDE w:val="0"/>
      <w:autoSpaceDN w:val="0"/>
      <w:spacing w:after="0" w:line="240" w:lineRule="auto"/>
      <w:ind w:left="869" w:hanging="284"/>
      <w:jc w:val="both"/>
    </w:pPr>
    <w:rPr>
      <w:rFonts w:ascii="Times New Roman" w:eastAsia="Times New Roman" w:hAnsi="Times New Roman" w:cs="Times New Roman"/>
      <w:kern w:val="0"/>
      <w:lang w:val="id"/>
      <w14:ligatures w14:val="none"/>
    </w:rPr>
  </w:style>
  <w:style w:type="table" w:styleId="TableGrid">
    <w:name w:val="Table Grid"/>
    <w:basedOn w:val="TableNormal"/>
    <w:uiPriority w:val="39"/>
    <w:rsid w:val="008900C3"/>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Bagian Isi Tanpa Subjudul Char,TEXT Char,UGEX'Z Char,Heading 1 Char1 Char"/>
    <w:link w:val="ListParagraph"/>
    <w:uiPriority w:val="99"/>
    <w:qFormat/>
    <w:locked/>
    <w:rsid w:val="008900C3"/>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087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28"/>
  </w:style>
  <w:style w:type="paragraph" w:styleId="Footer">
    <w:name w:val="footer"/>
    <w:basedOn w:val="Normal"/>
    <w:link w:val="FooterChar"/>
    <w:uiPriority w:val="99"/>
    <w:unhideWhenUsed/>
    <w:rsid w:val="00087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5097">
      <w:bodyDiv w:val="1"/>
      <w:marLeft w:val="0"/>
      <w:marRight w:val="0"/>
      <w:marTop w:val="0"/>
      <w:marBottom w:val="0"/>
      <w:divBdr>
        <w:top w:val="none" w:sz="0" w:space="0" w:color="auto"/>
        <w:left w:val="none" w:sz="0" w:space="0" w:color="auto"/>
        <w:bottom w:val="none" w:sz="0" w:space="0" w:color="auto"/>
        <w:right w:val="none" w:sz="0" w:space="0" w:color="auto"/>
      </w:divBdr>
    </w:div>
    <w:div w:id="1618638223">
      <w:bodyDiv w:val="1"/>
      <w:marLeft w:val="0"/>
      <w:marRight w:val="0"/>
      <w:marTop w:val="0"/>
      <w:marBottom w:val="0"/>
      <w:divBdr>
        <w:top w:val="none" w:sz="0" w:space="0" w:color="auto"/>
        <w:left w:val="none" w:sz="0" w:space="0" w:color="auto"/>
        <w:bottom w:val="none" w:sz="0" w:space="0" w:color="auto"/>
        <w:right w:val="none" w:sz="0" w:space="0" w:color="auto"/>
      </w:divBdr>
      <w:divsChild>
        <w:div w:id="1939363318">
          <w:marLeft w:val="0"/>
          <w:marRight w:val="0"/>
          <w:marTop w:val="0"/>
          <w:marBottom w:val="0"/>
          <w:divBdr>
            <w:top w:val="none" w:sz="0" w:space="0" w:color="auto"/>
            <w:left w:val="none" w:sz="0" w:space="0" w:color="auto"/>
            <w:bottom w:val="none" w:sz="0" w:space="0" w:color="auto"/>
            <w:right w:val="none" w:sz="0" w:space="0" w:color="auto"/>
          </w:divBdr>
          <w:divsChild>
            <w:div w:id="934216249">
              <w:marLeft w:val="0"/>
              <w:marRight w:val="0"/>
              <w:marTop w:val="0"/>
              <w:marBottom w:val="0"/>
              <w:divBdr>
                <w:top w:val="none" w:sz="0" w:space="0" w:color="auto"/>
                <w:left w:val="none" w:sz="0" w:space="0" w:color="auto"/>
                <w:bottom w:val="none" w:sz="0" w:space="0" w:color="auto"/>
                <w:right w:val="none" w:sz="0" w:space="0" w:color="auto"/>
              </w:divBdr>
              <w:divsChild>
                <w:div w:id="130565693">
                  <w:marLeft w:val="0"/>
                  <w:marRight w:val="0"/>
                  <w:marTop w:val="0"/>
                  <w:marBottom w:val="0"/>
                  <w:divBdr>
                    <w:top w:val="none" w:sz="0" w:space="0" w:color="auto"/>
                    <w:left w:val="none" w:sz="0" w:space="0" w:color="auto"/>
                    <w:bottom w:val="none" w:sz="0" w:space="0" w:color="auto"/>
                    <w:right w:val="none" w:sz="0" w:space="0" w:color="auto"/>
                  </w:divBdr>
                  <w:divsChild>
                    <w:div w:id="1181430810">
                      <w:marLeft w:val="0"/>
                      <w:marRight w:val="0"/>
                      <w:marTop w:val="0"/>
                      <w:marBottom w:val="0"/>
                      <w:divBdr>
                        <w:top w:val="none" w:sz="0" w:space="0" w:color="auto"/>
                        <w:left w:val="none" w:sz="0" w:space="0" w:color="auto"/>
                        <w:bottom w:val="none" w:sz="0" w:space="0" w:color="auto"/>
                        <w:right w:val="none" w:sz="0" w:space="0" w:color="auto"/>
                      </w:divBdr>
                      <w:divsChild>
                        <w:div w:id="783379685">
                          <w:marLeft w:val="0"/>
                          <w:marRight w:val="0"/>
                          <w:marTop w:val="0"/>
                          <w:marBottom w:val="0"/>
                          <w:divBdr>
                            <w:top w:val="none" w:sz="0" w:space="0" w:color="auto"/>
                            <w:left w:val="none" w:sz="0" w:space="0" w:color="auto"/>
                            <w:bottom w:val="none" w:sz="0" w:space="0" w:color="auto"/>
                            <w:right w:val="none" w:sz="0" w:space="0" w:color="auto"/>
                          </w:divBdr>
                          <w:divsChild>
                            <w:div w:id="456337125">
                              <w:marLeft w:val="0"/>
                              <w:marRight w:val="0"/>
                              <w:marTop w:val="0"/>
                              <w:marBottom w:val="0"/>
                              <w:divBdr>
                                <w:top w:val="none" w:sz="0" w:space="0" w:color="auto"/>
                                <w:left w:val="none" w:sz="0" w:space="0" w:color="auto"/>
                                <w:bottom w:val="none" w:sz="0" w:space="0" w:color="auto"/>
                                <w:right w:val="none" w:sz="0" w:space="0" w:color="auto"/>
                              </w:divBdr>
                              <w:divsChild>
                                <w:div w:id="212347224">
                                  <w:marLeft w:val="0"/>
                                  <w:marRight w:val="0"/>
                                  <w:marTop w:val="0"/>
                                  <w:marBottom w:val="0"/>
                                  <w:divBdr>
                                    <w:top w:val="none" w:sz="0" w:space="0" w:color="auto"/>
                                    <w:left w:val="none" w:sz="0" w:space="0" w:color="auto"/>
                                    <w:bottom w:val="none" w:sz="0" w:space="0" w:color="auto"/>
                                    <w:right w:val="none" w:sz="0" w:space="0" w:color="auto"/>
                                  </w:divBdr>
                                  <w:divsChild>
                                    <w:div w:id="2422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06350">
                      <w:marLeft w:val="0"/>
                      <w:marRight w:val="0"/>
                      <w:marTop w:val="0"/>
                      <w:marBottom w:val="0"/>
                      <w:divBdr>
                        <w:top w:val="none" w:sz="0" w:space="0" w:color="auto"/>
                        <w:left w:val="none" w:sz="0" w:space="0" w:color="auto"/>
                        <w:bottom w:val="none" w:sz="0" w:space="0" w:color="auto"/>
                        <w:right w:val="none" w:sz="0" w:space="0" w:color="auto"/>
                      </w:divBdr>
                      <w:divsChild>
                        <w:div w:id="1613170426">
                          <w:marLeft w:val="0"/>
                          <w:marRight w:val="0"/>
                          <w:marTop w:val="0"/>
                          <w:marBottom w:val="0"/>
                          <w:divBdr>
                            <w:top w:val="none" w:sz="0" w:space="0" w:color="auto"/>
                            <w:left w:val="none" w:sz="0" w:space="0" w:color="auto"/>
                            <w:bottom w:val="none" w:sz="0" w:space="0" w:color="auto"/>
                            <w:right w:val="none" w:sz="0" w:space="0" w:color="auto"/>
                          </w:divBdr>
                        </w:div>
                      </w:divsChild>
                    </w:div>
                    <w:div w:id="469636771">
                      <w:marLeft w:val="0"/>
                      <w:marRight w:val="0"/>
                      <w:marTop w:val="0"/>
                      <w:marBottom w:val="0"/>
                      <w:divBdr>
                        <w:top w:val="none" w:sz="0" w:space="0" w:color="auto"/>
                        <w:left w:val="none" w:sz="0" w:space="0" w:color="auto"/>
                        <w:bottom w:val="none" w:sz="0" w:space="0" w:color="auto"/>
                        <w:right w:val="none" w:sz="0" w:space="0" w:color="auto"/>
                      </w:divBdr>
                      <w:divsChild>
                        <w:div w:id="572934166">
                          <w:marLeft w:val="0"/>
                          <w:marRight w:val="0"/>
                          <w:marTop w:val="0"/>
                          <w:marBottom w:val="0"/>
                          <w:divBdr>
                            <w:top w:val="none" w:sz="0" w:space="0" w:color="auto"/>
                            <w:left w:val="none" w:sz="0" w:space="0" w:color="auto"/>
                            <w:bottom w:val="none" w:sz="0" w:space="0" w:color="auto"/>
                            <w:right w:val="none" w:sz="0" w:space="0" w:color="auto"/>
                          </w:divBdr>
                          <w:divsChild>
                            <w:div w:id="2131128302">
                              <w:marLeft w:val="0"/>
                              <w:marRight w:val="0"/>
                              <w:marTop w:val="0"/>
                              <w:marBottom w:val="0"/>
                              <w:divBdr>
                                <w:top w:val="none" w:sz="0" w:space="0" w:color="auto"/>
                                <w:left w:val="none" w:sz="0" w:space="0" w:color="auto"/>
                                <w:bottom w:val="none" w:sz="0" w:space="0" w:color="auto"/>
                                <w:right w:val="none" w:sz="0" w:space="0" w:color="auto"/>
                              </w:divBdr>
                              <w:divsChild>
                                <w:div w:id="151803113">
                                  <w:marLeft w:val="0"/>
                                  <w:marRight w:val="0"/>
                                  <w:marTop w:val="0"/>
                                  <w:marBottom w:val="0"/>
                                  <w:divBdr>
                                    <w:top w:val="none" w:sz="0" w:space="0" w:color="auto"/>
                                    <w:left w:val="none" w:sz="0" w:space="0" w:color="auto"/>
                                    <w:bottom w:val="none" w:sz="0" w:space="0" w:color="auto"/>
                                    <w:right w:val="none" w:sz="0" w:space="0" w:color="auto"/>
                                  </w:divBdr>
                                  <w:divsChild>
                                    <w:div w:id="3894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75126">
              <w:marLeft w:val="0"/>
              <w:marRight w:val="0"/>
              <w:marTop w:val="0"/>
              <w:marBottom w:val="0"/>
              <w:divBdr>
                <w:top w:val="none" w:sz="0" w:space="0" w:color="auto"/>
                <w:left w:val="none" w:sz="0" w:space="0" w:color="auto"/>
                <w:bottom w:val="none" w:sz="0" w:space="0" w:color="auto"/>
                <w:right w:val="none" w:sz="0" w:space="0" w:color="auto"/>
              </w:divBdr>
              <w:divsChild>
                <w:div w:id="1647127067">
                  <w:marLeft w:val="0"/>
                  <w:marRight w:val="0"/>
                  <w:marTop w:val="0"/>
                  <w:marBottom w:val="0"/>
                  <w:divBdr>
                    <w:top w:val="none" w:sz="0" w:space="0" w:color="auto"/>
                    <w:left w:val="none" w:sz="0" w:space="0" w:color="auto"/>
                    <w:bottom w:val="none" w:sz="0" w:space="0" w:color="auto"/>
                    <w:right w:val="none" w:sz="0" w:space="0" w:color="auto"/>
                  </w:divBdr>
                  <w:divsChild>
                    <w:div w:id="1247298445">
                      <w:marLeft w:val="0"/>
                      <w:marRight w:val="0"/>
                      <w:marTop w:val="0"/>
                      <w:marBottom w:val="0"/>
                      <w:divBdr>
                        <w:top w:val="none" w:sz="0" w:space="0" w:color="auto"/>
                        <w:left w:val="none" w:sz="0" w:space="0" w:color="auto"/>
                        <w:bottom w:val="none" w:sz="0" w:space="0" w:color="auto"/>
                        <w:right w:val="none" w:sz="0" w:space="0" w:color="auto"/>
                      </w:divBdr>
                      <w:divsChild>
                        <w:div w:id="1489398156">
                          <w:marLeft w:val="0"/>
                          <w:marRight w:val="0"/>
                          <w:marTop w:val="0"/>
                          <w:marBottom w:val="0"/>
                          <w:divBdr>
                            <w:top w:val="none" w:sz="0" w:space="0" w:color="auto"/>
                            <w:left w:val="none" w:sz="0" w:space="0" w:color="auto"/>
                            <w:bottom w:val="none" w:sz="0" w:space="0" w:color="auto"/>
                            <w:right w:val="none" w:sz="0" w:space="0" w:color="auto"/>
                          </w:divBdr>
                        </w:div>
                      </w:divsChild>
                    </w:div>
                    <w:div w:id="1447234955">
                      <w:marLeft w:val="0"/>
                      <w:marRight w:val="0"/>
                      <w:marTop w:val="0"/>
                      <w:marBottom w:val="0"/>
                      <w:divBdr>
                        <w:top w:val="none" w:sz="0" w:space="0" w:color="auto"/>
                        <w:left w:val="none" w:sz="0" w:space="0" w:color="auto"/>
                        <w:bottom w:val="none" w:sz="0" w:space="0" w:color="auto"/>
                        <w:right w:val="none" w:sz="0" w:space="0" w:color="auto"/>
                      </w:divBdr>
                      <w:divsChild>
                        <w:div w:id="805902176">
                          <w:marLeft w:val="0"/>
                          <w:marRight w:val="0"/>
                          <w:marTop w:val="0"/>
                          <w:marBottom w:val="0"/>
                          <w:divBdr>
                            <w:top w:val="none" w:sz="0" w:space="0" w:color="auto"/>
                            <w:left w:val="none" w:sz="0" w:space="0" w:color="auto"/>
                            <w:bottom w:val="none" w:sz="0" w:space="0" w:color="auto"/>
                            <w:right w:val="none" w:sz="0" w:space="0" w:color="auto"/>
                          </w:divBdr>
                          <w:divsChild>
                            <w:div w:id="4466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0618">
                      <w:marLeft w:val="0"/>
                      <w:marRight w:val="0"/>
                      <w:marTop w:val="0"/>
                      <w:marBottom w:val="0"/>
                      <w:divBdr>
                        <w:top w:val="none" w:sz="0" w:space="0" w:color="auto"/>
                        <w:left w:val="none" w:sz="0" w:space="0" w:color="auto"/>
                        <w:bottom w:val="none" w:sz="0" w:space="0" w:color="auto"/>
                        <w:right w:val="none" w:sz="0" w:space="0" w:color="auto"/>
                      </w:divBdr>
                    </w:div>
                    <w:div w:id="1965960578">
                      <w:marLeft w:val="0"/>
                      <w:marRight w:val="0"/>
                      <w:marTop w:val="0"/>
                      <w:marBottom w:val="0"/>
                      <w:divBdr>
                        <w:top w:val="none" w:sz="0" w:space="0" w:color="auto"/>
                        <w:left w:val="none" w:sz="0" w:space="0" w:color="auto"/>
                        <w:bottom w:val="none" w:sz="0" w:space="0" w:color="auto"/>
                        <w:right w:val="none" w:sz="0" w:space="0" w:color="auto"/>
                      </w:divBdr>
                      <w:divsChild>
                        <w:div w:id="1558004800">
                          <w:marLeft w:val="0"/>
                          <w:marRight w:val="0"/>
                          <w:marTop w:val="0"/>
                          <w:marBottom w:val="0"/>
                          <w:divBdr>
                            <w:top w:val="none" w:sz="0" w:space="0" w:color="auto"/>
                            <w:left w:val="none" w:sz="0" w:space="0" w:color="auto"/>
                            <w:bottom w:val="none" w:sz="0" w:space="0" w:color="auto"/>
                            <w:right w:val="none" w:sz="0" w:space="0" w:color="auto"/>
                          </w:divBdr>
                          <w:divsChild>
                            <w:div w:id="1199050585">
                              <w:marLeft w:val="0"/>
                              <w:marRight w:val="0"/>
                              <w:marTop w:val="0"/>
                              <w:marBottom w:val="0"/>
                              <w:divBdr>
                                <w:top w:val="none" w:sz="0" w:space="0" w:color="auto"/>
                                <w:left w:val="none" w:sz="0" w:space="0" w:color="auto"/>
                                <w:bottom w:val="none" w:sz="0" w:space="0" w:color="auto"/>
                                <w:right w:val="none" w:sz="0" w:space="0" w:color="auto"/>
                              </w:divBdr>
                              <w:divsChild>
                                <w:div w:id="13265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0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0BFE-10C0-417C-9CE1-D04D4258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sagung agung putri dwiastuti</dc:creator>
  <cp:keywords/>
  <dc:description/>
  <cp:lastModifiedBy>Dayu Dian</cp:lastModifiedBy>
  <cp:revision>3</cp:revision>
  <dcterms:created xsi:type="dcterms:W3CDTF">2023-10-18T04:47:00Z</dcterms:created>
  <dcterms:modified xsi:type="dcterms:W3CDTF">2023-10-18T05:43:00Z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a7eda4da-29c7-3f71-8fe0-56d5f425186d</vt:lpwstr>
  </property>
  <property fmtid="{D5CDD505-2E9C-101B-9397-08002B2CF9AE}" pid="24" name="Mendeley Citation Style_1">
    <vt:lpwstr>http://www.zotero.org/styles/apa</vt:lpwstr>
  </property>
</Properties>
</file>