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4BAFE" w14:textId="28169374" w:rsidR="001034D0" w:rsidRDefault="001034D0" w:rsidP="00EB7266">
      <w:pPr>
        <w:tabs>
          <w:tab w:val="left" w:pos="4678"/>
        </w:tabs>
        <w:spacing w:line="240" w:lineRule="auto"/>
        <w:ind w:firstLine="0"/>
        <w:jc w:val="center"/>
        <w:rPr>
          <w:rFonts w:ascii="Arial Narrow" w:hAnsi="Arial Narrow"/>
          <w:b/>
          <w:bCs/>
          <w:noProof/>
          <w:sz w:val="36"/>
          <w:szCs w:val="36"/>
        </w:rPr>
      </w:pPr>
      <w:r w:rsidRPr="001034D0">
        <w:rPr>
          <w:rFonts w:ascii="Arial Narrow" w:hAnsi="Arial Narrow"/>
          <w:b/>
          <w:bCs/>
          <w:noProof/>
          <w:sz w:val="36"/>
          <w:szCs w:val="36"/>
        </w:rPr>
        <w:t>Effectiveness of Nutritional Counseling on Nutritional Knowledge and Protein Energy Intake of Chronic Kidney Failure Patients with Hemodialysis at RSUP Prof. Dr. I.G.N.G. Ngoerah</w:t>
      </w:r>
    </w:p>
    <w:p w14:paraId="05238816" w14:textId="77777777" w:rsidR="001034D0" w:rsidRPr="001034D0" w:rsidRDefault="001034D0" w:rsidP="00EB7266">
      <w:pPr>
        <w:tabs>
          <w:tab w:val="left" w:pos="4678"/>
        </w:tabs>
        <w:spacing w:line="240" w:lineRule="auto"/>
        <w:ind w:firstLine="0"/>
        <w:jc w:val="center"/>
        <w:rPr>
          <w:rFonts w:ascii="Arial Narrow" w:hAnsi="Arial Narrow"/>
          <w:b/>
          <w:bCs/>
          <w:noProof/>
          <w:sz w:val="36"/>
          <w:szCs w:val="36"/>
        </w:rPr>
      </w:pPr>
    </w:p>
    <w:p w14:paraId="038846C3" w14:textId="5C08B4A7" w:rsidR="004B1F4C" w:rsidRDefault="00EB7266" w:rsidP="00EB7266">
      <w:pPr>
        <w:tabs>
          <w:tab w:val="left" w:pos="4678"/>
        </w:tabs>
        <w:spacing w:line="240" w:lineRule="auto"/>
        <w:ind w:firstLine="0"/>
        <w:jc w:val="center"/>
        <w:rPr>
          <w:rFonts w:ascii="Arial Narrow" w:hAnsi="Arial Narrow"/>
          <w:b/>
          <w:bCs/>
          <w:noProof/>
          <w:szCs w:val="28"/>
          <w:vertAlign w:val="superscript"/>
        </w:rPr>
      </w:pPr>
      <w:r>
        <w:rPr>
          <w:rFonts w:ascii="Arial Narrow" w:hAnsi="Arial Narrow"/>
          <w:b/>
          <w:bCs/>
          <w:noProof/>
          <w:szCs w:val="28"/>
        </w:rPr>
        <w:t>I.G.A. Mas Inten Pertiwi</w:t>
      </w:r>
      <w:r w:rsidR="004B1F4C" w:rsidRPr="00FC3401">
        <w:rPr>
          <w:rFonts w:ascii="Arial Narrow" w:hAnsi="Arial Narrow"/>
          <w:b/>
          <w:bCs/>
          <w:noProof/>
          <w:szCs w:val="28"/>
          <w:vertAlign w:val="superscript"/>
        </w:rPr>
        <w:t xml:space="preserve"> 1*,</w:t>
      </w:r>
      <w:r w:rsidR="004B1F4C" w:rsidRPr="00F12C44">
        <w:rPr>
          <w:rFonts w:ascii="Arial Narrow" w:hAnsi="Arial Narrow"/>
          <w:b/>
          <w:bCs/>
          <w:noProof/>
          <w:szCs w:val="28"/>
          <w:vertAlign w:val="superscript"/>
        </w:rPr>
        <w:t xml:space="preserve"> </w:t>
      </w:r>
      <w:r w:rsidR="001356F8">
        <w:rPr>
          <w:rFonts w:ascii="Arial Narrow" w:hAnsi="Arial Narrow"/>
          <w:b/>
          <w:bCs/>
          <w:noProof/>
          <w:szCs w:val="28"/>
        </w:rPr>
        <w:t xml:space="preserve"> Ni </w:t>
      </w:r>
      <w:r w:rsidRPr="00EB7266">
        <w:rPr>
          <w:rFonts w:ascii="Arial Narrow" w:hAnsi="Arial Narrow"/>
          <w:b/>
          <w:bCs/>
          <w:noProof/>
          <w:szCs w:val="28"/>
        </w:rPr>
        <w:t>Komang Wiardani,</w:t>
      </w:r>
      <w:r w:rsidR="001356F8">
        <w:rPr>
          <w:rFonts w:ascii="Arial Narrow" w:hAnsi="Arial Narrow"/>
          <w:b/>
          <w:bCs/>
          <w:noProof/>
          <w:szCs w:val="28"/>
        </w:rPr>
        <w:t xml:space="preserve"> </w:t>
      </w:r>
      <w:r w:rsidR="004B1F4C" w:rsidRPr="00EB7266">
        <w:rPr>
          <w:rFonts w:ascii="Arial Narrow" w:hAnsi="Arial Narrow"/>
          <w:b/>
          <w:bCs/>
          <w:noProof/>
          <w:szCs w:val="28"/>
          <w:vertAlign w:val="superscript"/>
        </w:rPr>
        <w:t>1</w:t>
      </w:r>
      <w:r w:rsidR="004B1F4C" w:rsidRPr="00FC3401">
        <w:rPr>
          <w:rFonts w:ascii="Arial Narrow" w:hAnsi="Arial Narrow"/>
          <w:b/>
          <w:bCs/>
          <w:noProof/>
          <w:szCs w:val="28"/>
        </w:rPr>
        <w:t xml:space="preserve">, </w:t>
      </w:r>
      <w:r w:rsidRPr="00EB7266">
        <w:rPr>
          <w:rFonts w:ascii="Arial Narrow" w:eastAsia="Times New Roman" w:hAnsi="Arial Narrow" w:cs="Times New Roman"/>
          <w:b/>
        </w:rPr>
        <w:t>Pande Putu Sri Sugiani.</w:t>
      </w:r>
      <w:r w:rsidR="00204DC9">
        <w:rPr>
          <w:rFonts w:ascii="Arial Narrow" w:hAnsi="Arial Narrow"/>
          <w:b/>
          <w:bCs/>
          <w:noProof/>
          <w:szCs w:val="28"/>
          <w:vertAlign w:val="superscript"/>
        </w:rPr>
        <w:t>1</w:t>
      </w:r>
      <w:r>
        <w:rPr>
          <w:rFonts w:ascii="Arial Narrow" w:hAnsi="Arial Narrow"/>
          <w:b/>
          <w:bCs/>
          <w:noProof/>
          <w:szCs w:val="28"/>
          <w:vertAlign w:val="superscript"/>
        </w:rPr>
        <w:t xml:space="preserve"> </w:t>
      </w:r>
    </w:p>
    <w:p w14:paraId="3CBFA14D" w14:textId="77777777" w:rsidR="00EB7266" w:rsidRPr="00FC3401" w:rsidRDefault="00EB7266" w:rsidP="00EB7266">
      <w:pPr>
        <w:tabs>
          <w:tab w:val="left" w:pos="4678"/>
        </w:tabs>
        <w:spacing w:line="240" w:lineRule="auto"/>
        <w:ind w:firstLine="0"/>
        <w:jc w:val="center"/>
        <w:rPr>
          <w:rFonts w:ascii="Arial Narrow" w:hAnsi="Arial Narrow"/>
          <w:b/>
          <w:bCs/>
          <w:noProof/>
          <w:szCs w:val="28"/>
        </w:rPr>
      </w:pPr>
    </w:p>
    <w:p w14:paraId="1E0F66D5" w14:textId="45F0CBC6" w:rsidR="004B1F4C" w:rsidRPr="00EC49A7" w:rsidRDefault="004B1F4C" w:rsidP="00EB7266">
      <w:pPr>
        <w:spacing w:line="240" w:lineRule="auto"/>
        <w:ind w:firstLine="0"/>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r w:rsidR="00EB7266" w:rsidRPr="00EB7266">
        <w:rPr>
          <w:rFonts w:ascii="Arial Narrow" w:hAnsi="Arial Narrow"/>
          <w:sz w:val="24"/>
        </w:rPr>
        <w:t>Department of Nutrition, Health Polytechnic, Ministry of Health, Denpasar</w:t>
      </w:r>
    </w:p>
    <w:p w14:paraId="4FE8B180" w14:textId="645D1D7E" w:rsidR="004B1F4C" w:rsidRPr="00EB7266" w:rsidRDefault="00EB7266" w:rsidP="00EB7266">
      <w:pPr>
        <w:spacing w:line="240" w:lineRule="auto"/>
        <w:jc w:val="center"/>
        <w:rPr>
          <w:rFonts w:ascii="Arial Narrow" w:eastAsia="Times New Roman" w:hAnsi="Arial Narrow" w:cs="Times New Roman"/>
          <w:sz w:val="24"/>
        </w:rPr>
      </w:pPr>
      <w:r w:rsidRPr="00EB7266">
        <w:rPr>
          <w:rFonts w:ascii="Arial Narrow" w:eastAsia="Times New Roman" w:hAnsi="Arial Narrow" w:cs="Times New Roman"/>
          <w:sz w:val="24"/>
        </w:rPr>
        <w:t>r</w:t>
      </w:r>
    </w:p>
    <w:p w14:paraId="2CEE5737" w14:textId="39D2F358" w:rsidR="004B1F4C" w:rsidRPr="009B4E7A" w:rsidRDefault="009B4E7A" w:rsidP="009B4E7A">
      <w:pPr>
        <w:tabs>
          <w:tab w:val="center" w:pos="4513"/>
          <w:tab w:val="left" w:pos="7470"/>
        </w:tabs>
        <w:spacing w:line="240" w:lineRule="auto"/>
        <w:ind w:firstLine="0"/>
        <w:jc w:val="left"/>
        <w:rPr>
          <w:rFonts w:ascii="Arial Narrow" w:hAnsi="Arial Narrow"/>
          <w:sz w:val="24"/>
        </w:rPr>
      </w:pPr>
      <w:r>
        <w:rPr>
          <w:rFonts w:ascii="Arial Narrow" w:hAnsi="Arial Narrow"/>
          <w:sz w:val="24"/>
        </w:rPr>
        <w:tab/>
      </w:r>
      <w:r w:rsidR="004B1F4C" w:rsidRPr="009B4E7A">
        <w:rPr>
          <w:rFonts w:ascii="Arial Narrow" w:hAnsi="Arial Narrow"/>
          <w:sz w:val="24"/>
        </w:rPr>
        <w:t xml:space="preserve">Corresponding author: </w:t>
      </w:r>
      <w:hyperlink r:id="rId7">
        <w:r w:rsidRPr="009B4E7A">
          <w:rPr>
            <w:rFonts w:ascii="Arial Narrow" w:eastAsia="Times New Roman" w:hAnsi="Arial Narrow" w:cs="Times New Roman"/>
            <w:color w:val="0563C1"/>
            <w:sz w:val="24"/>
            <w:u w:val="single"/>
          </w:rPr>
          <w:t>intenpertiwi14@gmail.com</w:t>
        </w:r>
      </w:hyperlink>
    </w:p>
    <w:p w14:paraId="4E94990B" w14:textId="77777777" w:rsidR="004B1F4C" w:rsidRPr="00B81796" w:rsidRDefault="004B1F4C" w:rsidP="004B1F4C">
      <w:pPr>
        <w:ind w:firstLine="0"/>
        <w:rPr>
          <w:rFonts w:ascii="Arial Narrow" w:hAnsi="Arial Narrow"/>
        </w:rPr>
      </w:pPr>
    </w:p>
    <w:p w14:paraId="387CACD5" w14:textId="77777777" w:rsidR="009B4E7A" w:rsidRPr="009B4E7A" w:rsidRDefault="004B1F4C" w:rsidP="009B4E7A">
      <w:pPr>
        <w:spacing w:line="240" w:lineRule="auto"/>
        <w:ind w:firstLine="0"/>
        <w:rPr>
          <w:rFonts w:ascii="Arial Narrow" w:hAnsi="Arial Narrow"/>
          <w:sz w:val="24"/>
        </w:rPr>
      </w:pPr>
      <w:r w:rsidRPr="008D2387">
        <w:rPr>
          <w:rFonts w:ascii="Arial Narrow" w:hAnsi="Arial Narrow"/>
          <w:sz w:val="24"/>
        </w:rPr>
        <w:t xml:space="preserve">Abstract: </w:t>
      </w:r>
      <w:r w:rsidR="009B4E7A" w:rsidRPr="009B4E7A">
        <w:rPr>
          <w:rFonts w:ascii="Arial Narrow" w:hAnsi="Arial Narrow"/>
          <w:sz w:val="24"/>
        </w:rPr>
        <w:t>Chronic Kidney Failure is a non-communicable disease characterized by failure of kidney function. Hemodialysis or dialysis is a therapy using a dialysis machine which functions to maintain the patient's life and well-being until kidney function is restored. The general aim of this research is to determine the effectiveness of nutritional counseling on nutritional knowledge and protein energy intake of chronic kidney patients on hemodialysis at RSUP Prof. Dr. I.G.N.G. Ngoerah. This type of research is quasi experimental with a one group pre-test-post-test design type. The number of samples in this study were 22 people aged 40-60 years. Sampling was taken using a simple random sampling technique. Providing intervention in the form of nutritional counseling was carried out 2 times within a period of 1 month. Based on the average level of nutritional knowledge before nutritional counseling, 68% of the sample had insufficient nutritional knowledge and experienced an increase in the average value after being given nutritional counseling. The patient's energy intake was 73% included in the category of insufficient intake while the patient's protein intake was 77% included in the insufficient intake after given nutritional counseling. Nutritional counseling is effective in increasing nutritional knowledge (p value 0.001) but not effective in increasing energy intake (p value 0.175) and protein (p value 0.254) in chronic kidney patients with hemodialysis therapy.</w:t>
      </w:r>
    </w:p>
    <w:p w14:paraId="575303F3" w14:textId="590B4C4A" w:rsidR="004B1F4C" w:rsidRDefault="009B4E7A" w:rsidP="009B4E7A">
      <w:pPr>
        <w:spacing w:line="240" w:lineRule="auto"/>
        <w:ind w:firstLine="0"/>
        <w:rPr>
          <w:rFonts w:ascii="Arial Narrow" w:hAnsi="Arial Narrow"/>
          <w:sz w:val="24"/>
        </w:rPr>
      </w:pPr>
      <w:r w:rsidRPr="009B4E7A">
        <w:rPr>
          <w:rFonts w:ascii="Arial Narrow" w:hAnsi="Arial Narrow"/>
          <w:sz w:val="24"/>
        </w:rPr>
        <w:t>Keywords: Nutritional counseling, Nutritional knowledge, Protein energy intake, Chronic kidney failure with hemodialysis</w:t>
      </w:r>
    </w:p>
    <w:p w14:paraId="217A9C29" w14:textId="77777777" w:rsidR="009B4E7A" w:rsidRDefault="009B4E7A" w:rsidP="009B4E7A">
      <w:pPr>
        <w:spacing w:line="240" w:lineRule="auto"/>
        <w:ind w:firstLine="0"/>
        <w:rPr>
          <w:rFonts w:ascii="Arial Narrow" w:hAnsi="Arial Narrow"/>
        </w:rPr>
      </w:pPr>
    </w:p>
    <w:p w14:paraId="26CB6336" w14:textId="77777777" w:rsidR="004B1F4C" w:rsidRPr="00B81796" w:rsidRDefault="004B1F4C" w:rsidP="004B1F4C">
      <w:pPr>
        <w:ind w:firstLine="0"/>
        <w:rPr>
          <w:rFonts w:ascii="Arial Narrow" w:hAnsi="Arial Narrow"/>
          <w:b/>
          <w:bCs/>
        </w:rPr>
      </w:pPr>
      <w:r w:rsidRPr="00B81796">
        <w:rPr>
          <w:rFonts w:ascii="Arial Narrow" w:hAnsi="Arial Narrow"/>
          <w:b/>
          <w:bCs/>
        </w:rPr>
        <w:t>INTRODUCTION</w:t>
      </w:r>
    </w:p>
    <w:p w14:paraId="6DCA55D2" w14:textId="1AD9F36E" w:rsidR="009B4E7A" w:rsidRPr="000F4EE6" w:rsidRDefault="009B4E7A" w:rsidP="000F4EE6">
      <w:pPr>
        <w:pStyle w:val="BodyText"/>
        <w:spacing w:line="360" w:lineRule="auto"/>
        <w:ind w:right="144" w:firstLine="426"/>
        <w:jc w:val="both"/>
        <w:rPr>
          <w:rFonts w:ascii="Arial Narrow" w:hAnsi="Arial Narrow"/>
        </w:rPr>
      </w:pPr>
      <w:r w:rsidRPr="000F4EE6">
        <w:rPr>
          <w:rFonts w:ascii="Arial Narrow" w:hAnsi="Arial Narrow"/>
          <w:shd w:val="clear" w:color="auto" w:fill="FFFFFF"/>
          <w:lang w:eastAsia="ru-RU"/>
        </w:rPr>
        <w:t>Chronic Kidney Failure is a non-communicable disease (NCD), which currently continues to increase in number both in the world and in Indonesia, in line with changes in people's lifestyles and eating patterns. The Global Burden of Disease Study estimates approximately 1.4 million deaths globally from CKD in 2019, a 20% increase from 2010, one of the largest increases among the leading causes of death</w:t>
      </w:r>
      <w:r w:rsidR="006B36A4" w:rsidRPr="000F4EE6">
        <w:rPr>
          <w:rFonts w:ascii="Arial Narrow" w:hAnsi="Arial Narrow"/>
          <w:shd w:val="clear" w:color="auto" w:fill="FFFFFF"/>
          <w:lang w:eastAsia="ru-RU"/>
        </w:rPr>
        <w:t xml:space="preserve"> </w:t>
      </w:r>
      <w:r w:rsidR="000F4EE6">
        <w:rPr>
          <w:rFonts w:ascii="Arial Narrow" w:hAnsi="Arial Narrow"/>
          <w:shd w:val="clear" w:color="auto" w:fill="FFFFFF"/>
          <w:lang w:eastAsia="ru-RU"/>
        </w:rPr>
        <w:fldChar w:fldCharType="begin" w:fldLock="1"/>
      </w:r>
      <w:r w:rsidR="000F4EE6">
        <w:rPr>
          <w:rFonts w:ascii="Arial Narrow" w:hAnsi="Arial Narrow"/>
          <w:shd w:val="clear" w:color="auto" w:fill="FFFFFF"/>
          <w:lang w:eastAsia="ru-RU"/>
        </w:rPr>
        <w:instrText>ADDIN CSL_CITATION {"citationItems":[{"id":"ITEM-1","itemData":{"DOI":"10.1371/journal.pone.0258494","ISBN":"1111111111","ISSN":"19326203","PMID":"34648578","abstract":"Background Chronic kidney disease (CKD) is an emerging public health issue globally. The prevalence estimates on CKD in South Asia are however limited. This study aimed to examine the prevalence of CKD among the general and high-risk population in South Asia. Methods We conducted a systematic review and meta-analysis of population-level prevalence studies in South Asia (Afghanistan, Bangladesh, Bhutan, Maldives, Nepal, India, Pakistan, and Sri Lanka). Three databases namely PubMed, Scopus and Web of Science were systematically searched for published reports of kidney disease in South Asia up to 28 October 2020. A random-effect model for computing the pooled prevalence was used. Results Of the 8749 identified studies, a total of 24 studies were included in the review. The pooled prevalence of CKD among the general population was 14% (95% CI 11-18%), and 15% (95% CI 11-20%) among adult males and 13% (95% CI 10-17%) in adult females. The prevalence of CKD was 27% (95% CI 20-35%) in adults with hypertension, 31% (95% CI 22-41%) in adults with diabetes and 14% (95% CI 10-19%) in adults who were overweight/obese. We found substantial heterogeneity across the included studies in the pooled estimates for CKD prevalence in both general and high-risk populations. The prevalence of CKD of unknown origin in the endemic population was 8% (95% CI 3-16%). Conclusion Our study reaffirms the previous reports that CKD represents a serious public health challenge in South Asia, with the disease prevalent among 1 in 7 adults in South Asian countries.","author":[{"dropping-particle":"","family":"Shrestha","given":"Nipun","non-dropping-particle":"","parse-names":false,"suffix":""},{"dropping-particle":"","family":"Gautam","given":"Sanju","non-dropping-particle":"","parse-names":false,"suffix":""},{"dropping-particle":"","family":"Mishra","given":"Shiva Raj","non-dropping-particle":"","parse-names":false,"suffix":""},{"dropping-particle":"","family":"Virani","given":"Salim S.","non-dropping-particle":"","parse-names":false,"suffix":""},{"dropping-particle":"","family":"Dhungana","given":"Raja Ram","non-dropping-particle":"","parse-names":false,"suffix":""}],"container-title":"PLoS ONE","id":"ITEM-1","issue":"10 October","issued":{"date-parts":[["2021"]]},"title":"Burden of chronic kidney disease in the general population and high-risk groups in South Asia: A systematic review and meta-analysis","type":"article-journal","volume":"16"},"uris":["http://www.mendeley.com/documents/?uuid=5eba5962-6407-4a74-b34c-3e7a5f08fa5e"]}],"mendeley":{"formattedCitation":"(Shrestha et al., 2021)","plainTextFormattedCitation":"(Shrestha et al., 2021)","previouslyFormattedCitation":"(Shrestha et al., 2021)"},"properties":{"noteIndex":0},"schema":"https://github.com/citation-style-language/schema/raw/master/csl-citation.json"}</w:instrText>
      </w:r>
      <w:r w:rsidR="000F4EE6">
        <w:rPr>
          <w:rFonts w:ascii="Arial Narrow" w:hAnsi="Arial Narrow"/>
          <w:shd w:val="clear" w:color="auto" w:fill="FFFFFF"/>
          <w:lang w:eastAsia="ru-RU"/>
        </w:rPr>
        <w:fldChar w:fldCharType="separate"/>
      </w:r>
      <w:r w:rsidR="000F4EE6" w:rsidRPr="000F4EE6">
        <w:rPr>
          <w:rFonts w:ascii="Arial Narrow" w:hAnsi="Arial Narrow"/>
          <w:noProof/>
          <w:shd w:val="clear" w:color="auto" w:fill="FFFFFF"/>
          <w:lang w:eastAsia="ru-RU"/>
        </w:rPr>
        <w:t>(Shrestha et al., 2021)</w:t>
      </w:r>
      <w:r w:rsidR="000F4EE6">
        <w:rPr>
          <w:rFonts w:ascii="Arial Narrow" w:hAnsi="Arial Narrow"/>
          <w:shd w:val="clear" w:color="auto" w:fill="FFFFFF"/>
          <w:lang w:eastAsia="ru-RU"/>
        </w:rPr>
        <w:fldChar w:fldCharType="end"/>
      </w:r>
      <w:r w:rsidR="006B36A4" w:rsidRPr="000F4EE6">
        <w:rPr>
          <w:rFonts w:ascii="Arial Narrow" w:hAnsi="Arial Narrow"/>
        </w:rPr>
        <w:t>.</w:t>
      </w:r>
      <w:r w:rsidRPr="000F4EE6">
        <w:rPr>
          <w:rFonts w:ascii="Arial Narrow" w:hAnsi="Arial Narrow"/>
          <w:shd w:val="clear" w:color="auto" w:fill="FFFFFF"/>
          <w:lang w:eastAsia="ru-RU"/>
        </w:rPr>
        <w:t xml:space="preserve"> In Indonesia, based on 2018 Basic Health Research (Riskesdas) data, the prevalence of CKD increased to 0.38 percent</w:t>
      </w:r>
      <w:r w:rsidR="000F4EE6">
        <w:rPr>
          <w:rFonts w:ascii="Arial Narrow" w:hAnsi="Arial Narrow"/>
          <w:shd w:val="clear" w:color="auto" w:fill="FFFFFF"/>
          <w:lang w:val="en-US" w:eastAsia="ru-RU"/>
        </w:rPr>
        <w:t xml:space="preserve"> </w:t>
      </w:r>
      <w:r w:rsidR="000F4EE6">
        <w:rPr>
          <w:rFonts w:ascii="Arial Narrow" w:hAnsi="Arial Narrow"/>
          <w:shd w:val="clear" w:color="auto" w:fill="FFFFFF"/>
          <w:lang w:eastAsia="ru-RU"/>
        </w:rPr>
        <w:fldChar w:fldCharType="begin" w:fldLock="1"/>
      </w:r>
      <w:r w:rsidR="000F4EE6">
        <w:rPr>
          <w:rFonts w:ascii="Arial Narrow" w:hAnsi="Arial Narrow"/>
          <w:shd w:val="clear" w:color="auto" w:fill="FFFFFF"/>
          <w:lang w:eastAsia="ru-RU"/>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a…","author":[{"dropping-particle":"","family":"Kementerian Kesehatan RI","given":"","non-dropping-particle":"","parse-names":false,"suffix":""}],"container-title":"Kementrian Kesehatan RI","id":"ITEM-1","issued":{"date-parts":[["2017"]]},"page":"207-2014","title":"Dietetika Penyakit Infeksi","type":"article-journal"},"uris":["http://www.mendeley.com/documents/?uuid=cf8301e4-6d7b-44c1-bc52-79fa110bdee6"]}],"mendeley":{"formattedCitation":"(Kementerian Kesehatan RI, 2017)","plainTextFormattedCitation":"(Kementerian Kesehatan RI, 2017)","previouslyFormattedCitation":"(Kementerian Kesehatan RI, 2017)"},"properties":{"noteIndex":0},"schema":"https://github.com/citation-style-language/schema/raw/master/csl-citation.json"}</w:instrText>
      </w:r>
      <w:r w:rsidR="000F4EE6">
        <w:rPr>
          <w:rFonts w:ascii="Arial Narrow" w:hAnsi="Arial Narrow"/>
          <w:shd w:val="clear" w:color="auto" w:fill="FFFFFF"/>
          <w:lang w:eastAsia="ru-RU"/>
        </w:rPr>
        <w:fldChar w:fldCharType="separate"/>
      </w:r>
      <w:r w:rsidR="000F4EE6" w:rsidRPr="000F4EE6">
        <w:rPr>
          <w:rFonts w:ascii="Arial Narrow" w:hAnsi="Arial Narrow"/>
          <w:noProof/>
          <w:shd w:val="clear" w:color="auto" w:fill="FFFFFF"/>
          <w:lang w:eastAsia="ru-RU"/>
        </w:rPr>
        <w:t>(Kementerian Kesehatan RI, 2017)</w:t>
      </w:r>
      <w:r w:rsidR="000F4EE6">
        <w:rPr>
          <w:rFonts w:ascii="Arial Narrow" w:hAnsi="Arial Narrow"/>
          <w:shd w:val="clear" w:color="auto" w:fill="FFFFFF"/>
          <w:lang w:eastAsia="ru-RU"/>
        </w:rPr>
        <w:fldChar w:fldCharType="end"/>
      </w:r>
      <w:r w:rsidR="006B36A4" w:rsidRPr="000F4EE6">
        <w:rPr>
          <w:rFonts w:ascii="Arial Narrow" w:hAnsi="Arial Narrow"/>
        </w:rPr>
        <w:t xml:space="preserve">. </w:t>
      </w:r>
      <w:r w:rsidRPr="000F4EE6">
        <w:rPr>
          <w:rFonts w:ascii="Arial Narrow" w:hAnsi="Arial Narrow"/>
          <w:shd w:val="clear" w:color="auto" w:fill="FFFFFF"/>
          <w:lang w:eastAsia="ru-RU"/>
        </w:rPr>
        <w:t xml:space="preserve"> Hemodialysis patients who have insufficient food intake, especially energy and protein intake, are consistently associated with a risk of decreased health and death in various different populations</w:t>
      </w:r>
      <w:r w:rsidR="006B36A4" w:rsidRPr="000F4EE6">
        <w:rPr>
          <w:rFonts w:ascii="Arial Narrow" w:hAnsi="Arial Narrow"/>
          <w:shd w:val="clear" w:color="auto" w:fill="FFFFFF"/>
          <w:lang w:val="en-US" w:eastAsia="ru-RU"/>
        </w:rPr>
        <w:t xml:space="preserve"> </w:t>
      </w:r>
      <w:r w:rsidR="006B36A4" w:rsidRPr="000F4EE6">
        <w:rPr>
          <w:rFonts w:ascii="Arial Narrow" w:hAnsi="Arial Narrow"/>
        </w:rPr>
        <w:t xml:space="preserve">(Astuti &amp; Septriana, 2018). </w:t>
      </w:r>
    </w:p>
    <w:p w14:paraId="064B54B3" w14:textId="4287713B" w:rsidR="009B4E7A" w:rsidRPr="000F4EE6" w:rsidRDefault="009B4E7A" w:rsidP="000F4EE6">
      <w:pPr>
        <w:ind w:firstLine="720"/>
        <w:rPr>
          <w:rFonts w:ascii="Arial Narrow" w:eastAsia="Times New Roman" w:hAnsi="Arial Narrow" w:cs="Times New Roman"/>
          <w:sz w:val="24"/>
          <w:shd w:val="clear" w:color="auto" w:fill="FFFFFF"/>
          <w:lang w:eastAsia="ru-RU"/>
        </w:rPr>
      </w:pPr>
      <w:r w:rsidRPr="000F4EE6">
        <w:rPr>
          <w:rFonts w:ascii="Arial Narrow" w:eastAsia="Times New Roman" w:hAnsi="Arial Narrow" w:cs="Times New Roman"/>
          <w:sz w:val="24"/>
          <w:shd w:val="clear" w:color="auto" w:fill="FFFFFF"/>
          <w:lang w:eastAsia="ru-RU"/>
        </w:rPr>
        <w:t>A person's level of nutritional knowledge influences attitudes and behavior in choosing food which will ultimately influence the patient's nutritional condition, especially compliance with nutritional principles and meal planning</w:t>
      </w:r>
      <w:r w:rsidR="000F4EE6" w:rsidRPr="000F4EE6">
        <w:rPr>
          <w:rFonts w:ascii="Arial Narrow" w:eastAsia="Times New Roman" w:hAnsi="Arial Narrow" w:cs="Times New Roman"/>
          <w:sz w:val="24"/>
          <w:shd w:val="clear" w:color="auto" w:fill="FFFFFF"/>
          <w:lang w:eastAsia="ru-RU"/>
        </w:rPr>
        <w:t xml:space="preserve"> </w:t>
      </w:r>
      <w:r w:rsidR="000F4EE6" w:rsidRPr="000F4EE6">
        <w:rPr>
          <w:rFonts w:ascii="Arial Narrow" w:eastAsia="Times New Roman" w:hAnsi="Arial Narrow" w:cs="Times New Roman"/>
          <w:sz w:val="24"/>
          <w:shd w:val="clear" w:color="auto" w:fill="FFFFFF"/>
          <w:lang w:eastAsia="ru-RU"/>
        </w:rPr>
        <w:fldChar w:fldCharType="begin" w:fldLock="1"/>
      </w:r>
      <w:r w:rsidR="000F4EE6">
        <w:rPr>
          <w:rFonts w:ascii="Arial Narrow" w:eastAsia="Times New Roman" w:hAnsi="Arial Narrow" w:cs="Times New Roman"/>
          <w:sz w:val="24"/>
          <w:shd w:val="clear" w:color="auto" w:fill="FFFFFF"/>
          <w:lang w:eastAsia="ru-RU"/>
        </w:rPr>
        <w:instrText>ADDIN CSL_CITATION {"citationItems":[{"id":"ITEM-1","itemData":{"abstract":"Abstrak Diet menjadi salah satu faktor penentu dalam memperbaiki fungsi jantung, jika asupan sumber kolesterol lebih dari kebutuhan maka kolesterol darah dalam tubuh kita meningkat. Kelebihan kolesterol dalam darah dapat membentuk endapan di pembuluh darah arteri yang menyebabkan penyempitan dan pembekuan. Terjadinya penyempitan arteri koroner dapat menyebabkan penyakit jantung. Semua penyakit jantung utama, apabila dalam keadaan parah dapat berpengaruh pada kapasitas fungsi pemompa dan terjadilah CHF. Tujuan dari penelitian ini yaitu mengetahui hubungan pengetahuan gizi dan kepatuhan diet dengan kadar kolesterol pada pasien CHF di RSUD Kota Surakarta. Metode yang digunakan pada penelitian ini adalah observasional analitik dengan pendekatan crossectional. Sampel yang digunakan pada penelitian ini sejumlah 25 sampel yang ditentukan menggunakan teknik purposive sampling. Data pengetahuan gizi dan kepatuhan diet didapat dari hasil wawancara melalui kuesioner, sedangkan kadar kolesterol didapat dari hasil pemeriksaan dengan GCU. Uji hubungan menggunakan uji Rank Spearman. Hasil dari penelitian ini diketahui sebagian besar sampel memiliki pengetahuan cukup sebanyak 17 (68%), dan sebagian besar sampel mematuhi diet sebanyak 15 (60%). Uji hubungan pengetahuan gizi dengan kadar kolesterol (p= 0,12). Uji hubungan kepatuhan diet dengan kadar kolesterol (p= 0,06). Kesimpulan dari penelitian ini yaitu ada hubungan pengetahuan gizi dan kepatuhan diet dengan kadar kolesterol pada pasien CHF di RSUD Kota Surakarta. 1.","author":[{"dropping-particle":"","family":"Rustami","given":"Hani Syarifah","non-dropping-particle":"","parse-names":false,"suffix":""}],"id":"ITEM-1","issued":{"date-parts":[["2018"]]},"page":"46-50","title":"Hubungan Pengetahuan Gizi Dan Kepatuhan Diet Dengan Kadar Kolesterol Pada Pasien Chf Di Rsud Kota Surakarta","type":"article-journal"},"uris":["http://www.mendeley.com/documents/?uuid=4cd2951b-e392-4f07-8fa0-414069e7e631"]}],"mendeley":{"formattedCitation":"(Rustami, 2018)","plainTextFormattedCitation":"(Rustami, 2018)","previouslyFormattedCitation":"(Rustami, 2018)"},"properties":{"noteIndex":0},"schema":"https://github.com/citation-style-language/schema/raw/master/csl-citation.json"}</w:instrText>
      </w:r>
      <w:r w:rsidR="000F4EE6" w:rsidRPr="000F4EE6">
        <w:rPr>
          <w:rFonts w:ascii="Arial Narrow" w:eastAsia="Times New Roman" w:hAnsi="Arial Narrow" w:cs="Times New Roman"/>
          <w:sz w:val="24"/>
          <w:shd w:val="clear" w:color="auto" w:fill="FFFFFF"/>
          <w:lang w:eastAsia="ru-RU"/>
        </w:rPr>
        <w:fldChar w:fldCharType="separate"/>
      </w:r>
      <w:r w:rsidR="000F4EE6" w:rsidRPr="000F4EE6">
        <w:rPr>
          <w:rFonts w:ascii="Arial Narrow" w:eastAsia="Times New Roman" w:hAnsi="Arial Narrow" w:cs="Times New Roman"/>
          <w:noProof/>
          <w:sz w:val="24"/>
          <w:shd w:val="clear" w:color="auto" w:fill="FFFFFF"/>
          <w:lang w:eastAsia="ru-RU"/>
        </w:rPr>
        <w:t>(Rustami, 2018)</w:t>
      </w:r>
      <w:r w:rsidR="000F4EE6" w:rsidRPr="000F4EE6">
        <w:rPr>
          <w:rFonts w:ascii="Arial Narrow" w:eastAsia="Times New Roman" w:hAnsi="Arial Narrow" w:cs="Times New Roman"/>
          <w:sz w:val="24"/>
          <w:shd w:val="clear" w:color="auto" w:fill="FFFFFF"/>
          <w:lang w:eastAsia="ru-RU"/>
        </w:rPr>
        <w:fldChar w:fldCharType="end"/>
      </w:r>
      <w:r w:rsidR="000F4EE6" w:rsidRPr="000F4EE6">
        <w:rPr>
          <w:rFonts w:ascii="Arial Narrow" w:eastAsia="Times New Roman" w:hAnsi="Arial Narrow" w:cs="Times New Roman"/>
          <w:sz w:val="24"/>
          <w:shd w:val="clear" w:color="auto" w:fill="FFFFFF"/>
          <w:lang w:eastAsia="ru-RU"/>
        </w:rPr>
        <w:t xml:space="preserve">. </w:t>
      </w:r>
      <w:r w:rsidRPr="000F4EE6">
        <w:rPr>
          <w:rFonts w:ascii="Arial Narrow" w:eastAsia="Times New Roman" w:hAnsi="Arial Narrow" w:cs="Times New Roman"/>
          <w:sz w:val="24"/>
          <w:shd w:val="clear" w:color="auto" w:fill="FFFFFF"/>
          <w:lang w:eastAsia="ru-RU"/>
        </w:rPr>
        <w:t xml:space="preserve">Efforts made to increase knowledge and compliance of </w:t>
      </w:r>
      <w:r w:rsidRPr="000F4EE6">
        <w:rPr>
          <w:rFonts w:ascii="Arial Narrow" w:eastAsia="Times New Roman" w:hAnsi="Arial Narrow" w:cs="Times New Roman"/>
          <w:sz w:val="24"/>
          <w:shd w:val="clear" w:color="auto" w:fill="FFFFFF"/>
          <w:lang w:eastAsia="ru-RU"/>
        </w:rPr>
        <w:lastRenderedPageBreak/>
        <w:t>CKD patients undergoing HD in following a diet are through nutritional counseling. This is supported by research which states that there is a significant change in knowledge and dietary compliance regarding the hemodialysis diet before and after counseling</w:t>
      </w:r>
      <w:r w:rsidR="006B36A4" w:rsidRPr="000F4EE6">
        <w:rPr>
          <w:rFonts w:ascii="Arial Narrow" w:eastAsia="Times New Roman" w:hAnsi="Arial Narrow" w:cs="Times New Roman"/>
          <w:sz w:val="24"/>
          <w:shd w:val="clear" w:color="auto" w:fill="FFFFFF"/>
          <w:lang w:eastAsia="ru-RU"/>
        </w:rPr>
        <w:t xml:space="preserve"> </w:t>
      </w:r>
      <w:r w:rsidR="006B36A4" w:rsidRPr="000F4EE6">
        <w:rPr>
          <w:rFonts w:ascii="Arial Narrow" w:hAnsi="Arial Narrow"/>
          <w:sz w:val="24"/>
        </w:rPr>
        <w:fldChar w:fldCharType="begin" w:fldLock="1"/>
      </w:r>
      <w:r w:rsidR="000F4EE6">
        <w:rPr>
          <w:rFonts w:ascii="Arial Narrow" w:hAnsi="Arial Narrow"/>
          <w:sz w:val="24"/>
        </w:rPr>
        <w:instrText>ADDIN CSL_CITATION {"citationItems":[{"id":"ITEM-1","itemData":{"ISSN":"2746-7112","author":[{"dropping-particle":"","family":"Marbun","given":"Rosmida M","non-dropping-particle":"","parse-names":false,"suffix":""},{"dropping-particle":"","family":"Multi Karina","given":"diah","non-dropping-particle":"","parse-names":false,"suffix":""},{"dropping-particle":"","family":"Maya","given":"Candra","non-dropping-particle":"","parse-names":false,"suffix":""},{"dropping-particle":"","family":"Jusfera Pakpahan","given":"Jenne","non-dropping-particle":"","parse-names":false,"suffix":""},{"dropping-particle":"","family":"Sinaga","given":"Aldonar","non-dropping-particle":"","parse-names":false,"suffix":""},{"dropping-particle":"","family":"Fanny Samosir","given":"Lisna","non-dropping-particle":"","parse-names":false,"suffix":""},{"dropping-particle":"","family":"Tampubolon","given":"Marupa","non-dropping-particle":"","parse-names":false,"suffix":""},{"dropping-particle":"","family":"Gizi","given":"Jurusan","non-dropping-particle":"","parse-names":false,"suffix":""},{"dropping-particle":"","family":"Kemenkes Jakarta","given":"Poltekkes II","non-dropping-particle":"","parse-names":false,"suffix":""},{"dropping-particle":"","family":"PGI Cikini Jl Hang Jebat III","given":"RS","non-dropping-particle":"","parse-names":false,"suffix":""},{"dropping-particle":"","family":"Baru Jakarta Selatan","given":"Kebayoran","non-dropping-particle":"","parse-names":false,"suffix":""}],"container-title":"Kocenin Serial Konferensi","id":"ITEM-1","issue":"1","issued":{"date-parts":[["2021"]]},"page":"1-10","title":"Pengaruh Konseling Gizi Dengan Buku Harian Diet Twerhadap Pengetahuan, Sikal, Dan Kepatuhan Diet Pasien Gagal Ginjal Dengan Terapi Hemodialisis","type":"article-journal","volume":"3"},"uris":["http://www.mendeley.com/documents/?uuid=055b5ce5-a511-4916-bd3c-4a1eb532a37e"]}],"mendeley":{"formattedCitation":"(Marbun et al., 2021)","plainTextFormattedCitation":"(Marbun et al., 2021)","previouslyFormattedCitation":"(Marbun et al., 2021)"},"properties":{"noteIndex":0},"schema":"https://github.com/citation-style-language/schema/raw/master/csl-citation.json"}</w:instrText>
      </w:r>
      <w:r w:rsidR="006B36A4" w:rsidRPr="000F4EE6">
        <w:rPr>
          <w:rFonts w:ascii="Arial Narrow" w:hAnsi="Arial Narrow"/>
          <w:sz w:val="24"/>
        </w:rPr>
        <w:fldChar w:fldCharType="separate"/>
      </w:r>
      <w:r w:rsidR="000F4EE6" w:rsidRPr="000F4EE6">
        <w:rPr>
          <w:rFonts w:ascii="Arial Narrow" w:hAnsi="Arial Narrow"/>
          <w:noProof/>
          <w:sz w:val="24"/>
        </w:rPr>
        <w:t>(Marbun et al., 2021)</w:t>
      </w:r>
      <w:r w:rsidR="006B36A4" w:rsidRPr="000F4EE6">
        <w:rPr>
          <w:rFonts w:ascii="Arial Narrow" w:hAnsi="Arial Narrow"/>
          <w:sz w:val="24"/>
        </w:rPr>
        <w:fldChar w:fldCharType="end"/>
      </w:r>
    </w:p>
    <w:p w14:paraId="2C9DA00B" w14:textId="0C6AFEFD" w:rsidR="004B1F4C" w:rsidRPr="000F4EE6" w:rsidRDefault="009B4E7A" w:rsidP="000F4EE6">
      <w:pPr>
        <w:ind w:firstLine="720"/>
        <w:rPr>
          <w:rFonts w:ascii="Arial Narrow" w:eastAsia="Times New Roman" w:hAnsi="Arial Narrow" w:cs="Times New Roman"/>
          <w:sz w:val="24"/>
          <w:shd w:val="clear" w:color="auto" w:fill="FFFFFF"/>
          <w:lang w:eastAsia="ru-RU"/>
        </w:rPr>
      </w:pPr>
      <w:r w:rsidRPr="000F4EE6">
        <w:rPr>
          <w:rFonts w:ascii="Arial Narrow" w:eastAsia="Times New Roman" w:hAnsi="Arial Narrow" w:cs="Times New Roman"/>
          <w:sz w:val="24"/>
          <w:shd w:val="clear" w:color="auto" w:fill="FFFFFF"/>
          <w:lang w:eastAsia="ru-RU"/>
        </w:rPr>
        <w:t>Central General Hospital (RSUP) Prof. Dr. I.G.N.G Ngoerah is a type A hospital belonging to the Ministry of Health located in Bali. As a referral hospital for Bali and Nusa Tenggara. This hospital has an outpatient installation consisting of three patient service areas, one of which is the hemodialysis outpatient installation. Nutrition counseling is one of the services provided by nutritionists to patients at RSUP Prof. Dr. I.G.N.G. Striving to overcome nutritional problems</w:t>
      </w:r>
      <w:r w:rsidR="00323731" w:rsidRPr="000F4EE6">
        <w:rPr>
          <w:rFonts w:ascii="Arial Narrow" w:eastAsia="Times New Roman" w:hAnsi="Arial Narrow" w:cs="Times New Roman"/>
          <w:sz w:val="24"/>
          <w:shd w:val="clear" w:color="auto" w:fill="FFFFFF"/>
          <w:lang w:eastAsia="ru-RU"/>
        </w:rPr>
        <w:t xml:space="preserve">. </w:t>
      </w:r>
    </w:p>
    <w:p w14:paraId="6D7F3151" w14:textId="77777777" w:rsidR="00A31C13" w:rsidRPr="00A31C13" w:rsidRDefault="00A31C13" w:rsidP="00A31C13">
      <w:pPr>
        <w:rPr>
          <w:rFonts w:ascii="Arial Narrow" w:eastAsia="Times New Roman" w:hAnsi="Arial Narrow" w:cs="Times New Roman"/>
          <w:color w:val="FF0000"/>
          <w:sz w:val="24"/>
          <w:shd w:val="clear" w:color="auto" w:fill="FFFFFF"/>
          <w:lang w:eastAsia="ru-RU"/>
        </w:rPr>
      </w:pPr>
    </w:p>
    <w:p w14:paraId="361191AD" w14:textId="77777777" w:rsidR="004B1F4C" w:rsidRPr="00EC49A7"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6302B0F4" w14:textId="60E4FC56" w:rsidR="004B1F4C" w:rsidRDefault="004B1F4C" w:rsidP="00A31C13">
      <w:pPr>
        <w:ind w:firstLine="0"/>
      </w:pPr>
      <w:r>
        <w:rPr>
          <w:rFonts w:ascii="Arial Narrow" w:hAnsi="Arial Narrow"/>
        </w:rPr>
        <w:tab/>
      </w:r>
      <w:r w:rsidR="00A31C13" w:rsidRPr="00A31C13">
        <w:rPr>
          <w:rFonts w:ascii="Arial Narrow" w:hAnsi="Arial Narrow"/>
          <w:sz w:val="24"/>
        </w:rPr>
        <w:t>The place for carrying out the research is the hemodialysis clinic at Prof Ngurah Hospital. The time used for the research is 3 months from October to December 2022. This type of research is experimental research, namely quasi-experimental with a one group pretest-posttest population design. In this research, patients with chronic kidney failure There were 22 people undergoing hemodialysis or HD therapy at Prof Ngurah Hospital in the study using a sampling technique, namely simple random sampling, data collection using the interview method with a sample identity form and a 1 x 24 hour food recall form. Univariate data analysis is presented descriptively including data on categories of age, gender, education, employment and nutritional status of respondents. Bivariate data analysis seeks or determines differences between two or more variables using the paired t-test if the data is normally distributed and using the Wilcoxon signed ranks test if data is not normally distributed</w:t>
      </w:r>
    </w:p>
    <w:p w14:paraId="794B66C4" w14:textId="77777777" w:rsidR="004B1F4C" w:rsidRDefault="004B1F4C" w:rsidP="004B1F4C">
      <w:pPr>
        <w:pStyle w:val="JIPIBody"/>
      </w:pPr>
    </w:p>
    <w:p w14:paraId="5CB25D25" w14:textId="77777777" w:rsidR="004B1F4C" w:rsidRPr="00EC49A7"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5A61DD9E" w14:textId="62C0FA74" w:rsidR="00A31C13" w:rsidRDefault="00A31C13" w:rsidP="00A31C13">
      <w:pPr>
        <w:ind w:firstLine="720"/>
        <w:rPr>
          <w:rFonts w:ascii="Arial Narrow" w:hAnsi="Arial Narrow"/>
          <w:sz w:val="24"/>
        </w:rPr>
      </w:pPr>
      <w:r w:rsidRPr="00A31C13">
        <w:rPr>
          <w:rFonts w:ascii="Arial Narrow" w:hAnsi="Arial Narrow"/>
          <w:sz w:val="24"/>
        </w:rPr>
        <w:t xml:space="preserve">The samples in this study were 22 samples of chronic kidney failure patients on hemodialysis who underwent outpatient control at the Hemodialysis Polyclinic, RSUP Prof. Dr. I.G.N.G. Ngoerah. The average age in the intervention group was 54 years. The largest distribution of samples based on age in the intervention group was in the 50-59 year age range, namely 63.63%. Sample characteristics based on gender of the 22 samples, 14 samples (63.63%) were male and 8 samples (36.36%) were female. The dominating sample education was 11 people (50%) graduated from high school, 5 people had graduated from elementary school (22.7%), 3 people had graduated from diploma/college (13.63%), 2 people had graduated from junior high school (9.09%) and had not graduated. Elementary school / Not attending school as many as 1 person (4.54%). Sample employment shows that 18 people (81.81%) of the sample are not working, 3 people (13.63%) are entrepreneurs and 1 person (4.54%) is a private employee. Sample characteristics based on nutritional status showed that 9 people (41%) were in the </w:t>
      </w:r>
      <w:r w:rsidRPr="00A31C13">
        <w:rPr>
          <w:rFonts w:ascii="Arial Narrow" w:hAnsi="Arial Narrow"/>
          <w:sz w:val="24"/>
        </w:rPr>
        <w:lastRenderedPageBreak/>
        <w:t>very thin category, 8 people (36.3%) were in the normal nutritional status category and 5 people (22.7%) were in the thin nutritional status category.</w:t>
      </w:r>
    </w:p>
    <w:p w14:paraId="4BA88048" w14:textId="77777777" w:rsidR="009C6399" w:rsidRPr="000F4EE6" w:rsidRDefault="009C6399" w:rsidP="009C6399">
      <w:pPr>
        <w:ind w:firstLine="0"/>
        <w:rPr>
          <w:rFonts w:ascii="Arial Narrow" w:hAnsi="Arial Narrow"/>
          <w:b/>
          <w:bCs/>
          <w:sz w:val="24"/>
        </w:rPr>
      </w:pPr>
      <w:r w:rsidRPr="000F4EE6">
        <w:rPr>
          <w:rFonts w:ascii="Arial Narrow" w:hAnsi="Arial Narrow"/>
          <w:b/>
          <w:bCs/>
          <w:sz w:val="24"/>
        </w:rPr>
        <w:t>Analysis of differences in nutritional knowledge before and after treatment</w:t>
      </w:r>
    </w:p>
    <w:p w14:paraId="08E4B8CF" w14:textId="29D0D5D8" w:rsidR="007F4890" w:rsidRPr="007F4890" w:rsidRDefault="007F4890" w:rsidP="007F4890">
      <w:pPr>
        <w:ind w:firstLine="0"/>
        <w:jc w:val="center"/>
        <w:rPr>
          <w:rFonts w:ascii="Arial Narrow" w:hAnsi="Arial Narrow"/>
          <w:sz w:val="20"/>
          <w:szCs w:val="20"/>
          <w:lang w:val="en"/>
        </w:rPr>
      </w:pPr>
      <w:r w:rsidRPr="007F4890">
        <w:rPr>
          <w:rFonts w:ascii="Arial Narrow" w:hAnsi="Arial Narrow"/>
          <w:b/>
          <w:bCs/>
          <w:sz w:val="20"/>
          <w:szCs w:val="20"/>
          <w:lang w:val="en"/>
        </w:rPr>
        <w:t>Table 1.</w:t>
      </w:r>
      <w:r w:rsidRPr="007F4890">
        <w:rPr>
          <w:rFonts w:ascii="Arial Narrow" w:hAnsi="Arial Narrow"/>
          <w:sz w:val="20"/>
          <w:szCs w:val="20"/>
          <w:lang w:val="en"/>
        </w:rPr>
        <w:t xml:space="preserve"> Results of analysis of nutritional knowledge using Wilcoxon signed ranks</w:t>
      </w:r>
    </w:p>
    <w:tbl>
      <w:tblPr>
        <w:tblW w:w="77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976"/>
        <w:gridCol w:w="567"/>
        <w:gridCol w:w="851"/>
        <w:gridCol w:w="1275"/>
        <w:gridCol w:w="993"/>
        <w:gridCol w:w="1129"/>
      </w:tblGrid>
      <w:tr w:rsidR="007F4890" w:rsidRPr="007F4890" w14:paraId="04AD6096" w14:textId="77777777" w:rsidTr="007F4890">
        <w:trPr>
          <w:jc w:val="center"/>
        </w:trPr>
        <w:tc>
          <w:tcPr>
            <w:tcW w:w="2977" w:type="dxa"/>
            <w:tcBorders>
              <w:left w:val="single" w:sz="4" w:space="0" w:color="FFFFFF"/>
              <w:bottom w:val="single" w:sz="4" w:space="0" w:color="FFFFFF" w:themeColor="background1"/>
              <w:right w:val="single" w:sz="4" w:space="0" w:color="FFFFFF"/>
            </w:tcBorders>
          </w:tcPr>
          <w:p w14:paraId="499284C3" w14:textId="77777777" w:rsidR="007F4890" w:rsidRPr="007F4890" w:rsidRDefault="007F4890" w:rsidP="007F4890">
            <w:pPr>
              <w:ind w:firstLine="0"/>
              <w:rPr>
                <w:rFonts w:ascii="Arial Narrow" w:hAnsi="Arial Narrow"/>
                <w:sz w:val="24"/>
                <w:lang w:val="en"/>
              </w:rPr>
            </w:pPr>
          </w:p>
        </w:tc>
        <w:tc>
          <w:tcPr>
            <w:tcW w:w="567" w:type="dxa"/>
            <w:tcBorders>
              <w:left w:val="single" w:sz="4" w:space="0" w:color="FFFFFF"/>
              <w:bottom w:val="single" w:sz="4" w:space="0" w:color="FFFFFF" w:themeColor="background1"/>
              <w:right w:val="single" w:sz="4" w:space="0" w:color="FFFFFF"/>
            </w:tcBorders>
          </w:tcPr>
          <w:p w14:paraId="14FC0316" w14:textId="77777777" w:rsidR="007F4890" w:rsidRPr="007F4890" w:rsidRDefault="007F4890" w:rsidP="007F4890">
            <w:pPr>
              <w:ind w:firstLine="0"/>
              <w:rPr>
                <w:rFonts w:ascii="Arial Narrow" w:hAnsi="Arial Narrow"/>
                <w:b/>
                <w:bCs/>
                <w:sz w:val="24"/>
                <w:lang w:val="en"/>
              </w:rPr>
            </w:pPr>
            <w:r w:rsidRPr="007F4890">
              <w:rPr>
                <w:rFonts w:ascii="Arial Narrow" w:hAnsi="Arial Narrow"/>
                <w:b/>
                <w:bCs/>
                <w:sz w:val="24"/>
                <w:lang w:val="en"/>
              </w:rPr>
              <w:t>N</w:t>
            </w:r>
          </w:p>
        </w:tc>
        <w:tc>
          <w:tcPr>
            <w:tcW w:w="851" w:type="dxa"/>
            <w:tcBorders>
              <w:left w:val="single" w:sz="4" w:space="0" w:color="FFFFFF"/>
              <w:bottom w:val="single" w:sz="4" w:space="0" w:color="FFFFFF" w:themeColor="background1"/>
              <w:right w:val="single" w:sz="4" w:space="0" w:color="FFFFFF"/>
            </w:tcBorders>
          </w:tcPr>
          <w:p w14:paraId="230F1918" w14:textId="3446F1EE" w:rsidR="007F4890" w:rsidRPr="007F4890" w:rsidRDefault="007F4890" w:rsidP="007F4890">
            <w:pPr>
              <w:ind w:firstLine="0"/>
              <w:rPr>
                <w:rFonts w:ascii="Arial Narrow" w:hAnsi="Arial Narrow"/>
                <w:b/>
                <w:bCs/>
                <w:sz w:val="24"/>
                <w:lang w:val="en"/>
              </w:rPr>
            </w:pPr>
            <w:r w:rsidRPr="009C6399">
              <w:rPr>
                <w:rFonts w:ascii="Arial Narrow" w:hAnsi="Arial Narrow"/>
                <w:b/>
                <w:bCs/>
                <w:sz w:val="24"/>
                <w:lang w:val="en"/>
              </w:rPr>
              <w:t>X</w:t>
            </w:r>
          </w:p>
        </w:tc>
        <w:tc>
          <w:tcPr>
            <w:tcW w:w="1275" w:type="dxa"/>
            <w:tcBorders>
              <w:left w:val="single" w:sz="4" w:space="0" w:color="FFFFFF"/>
              <w:bottom w:val="single" w:sz="4" w:space="0" w:color="FFFFFF" w:themeColor="background1"/>
              <w:right w:val="single" w:sz="4" w:space="0" w:color="FFFFFF"/>
            </w:tcBorders>
          </w:tcPr>
          <w:p w14:paraId="154266BE" w14:textId="77777777" w:rsidR="007F4890" w:rsidRPr="007F4890" w:rsidRDefault="007F4890" w:rsidP="007F4890">
            <w:pPr>
              <w:ind w:firstLine="0"/>
              <w:rPr>
                <w:rFonts w:ascii="Arial Narrow" w:hAnsi="Arial Narrow"/>
                <w:b/>
                <w:bCs/>
                <w:sz w:val="24"/>
                <w:lang w:val="en"/>
              </w:rPr>
            </w:pPr>
            <w:r w:rsidRPr="007F4890">
              <w:rPr>
                <w:rFonts w:ascii="Arial Narrow" w:hAnsi="Arial Narrow"/>
                <w:b/>
                <w:bCs/>
                <w:sz w:val="24"/>
                <w:lang w:val="en"/>
              </w:rPr>
              <w:t>SD</w:t>
            </w:r>
          </w:p>
        </w:tc>
        <w:tc>
          <w:tcPr>
            <w:tcW w:w="993" w:type="dxa"/>
            <w:tcBorders>
              <w:left w:val="single" w:sz="4" w:space="0" w:color="FFFFFF"/>
              <w:bottom w:val="single" w:sz="4" w:space="0" w:color="FFFFFF" w:themeColor="background1"/>
              <w:right w:val="single" w:sz="4" w:space="0" w:color="FFFFFF"/>
            </w:tcBorders>
          </w:tcPr>
          <w:p w14:paraId="2F6C4344" w14:textId="7C272EF5" w:rsidR="007F4890" w:rsidRPr="007F4890" w:rsidRDefault="007F4890" w:rsidP="007F4890">
            <w:pPr>
              <w:ind w:firstLine="0"/>
              <w:rPr>
                <w:rFonts w:ascii="Arial Narrow" w:hAnsi="Arial Narrow"/>
                <w:b/>
                <w:bCs/>
                <w:sz w:val="24"/>
                <w:lang w:val="en"/>
              </w:rPr>
            </w:pPr>
            <w:r w:rsidRPr="009C6399">
              <w:rPr>
                <w:rFonts w:ascii="Arial Narrow" w:hAnsi="Arial Narrow"/>
                <w:b/>
                <w:bCs/>
                <w:sz w:val="24"/>
                <w:lang w:val="en"/>
              </w:rPr>
              <w:t>Z</w:t>
            </w:r>
          </w:p>
        </w:tc>
        <w:tc>
          <w:tcPr>
            <w:tcW w:w="1129" w:type="dxa"/>
            <w:tcBorders>
              <w:left w:val="single" w:sz="4" w:space="0" w:color="FFFFFF"/>
              <w:bottom w:val="single" w:sz="4" w:space="0" w:color="FFFFFF" w:themeColor="background1"/>
              <w:right w:val="single" w:sz="4" w:space="0" w:color="FFFFFF"/>
            </w:tcBorders>
          </w:tcPr>
          <w:p w14:paraId="675D630A" w14:textId="77777777" w:rsidR="007F4890" w:rsidRPr="007F4890" w:rsidRDefault="007F4890" w:rsidP="007F4890">
            <w:pPr>
              <w:ind w:firstLine="0"/>
              <w:rPr>
                <w:rFonts w:ascii="Arial Narrow" w:hAnsi="Arial Narrow"/>
                <w:b/>
                <w:bCs/>
                <w:sz w:val="24"/>
                <w:lang w:val="en"/>
              </w:rPr>
            </w:pPr>
            <w:r w:rsidRPr="007F4890">
              <w:rPr>
                <w:rFonts w:ascii="Arial Narrow" w:hAnsi="Arial Narrow"/>
                <w:b/>
                <w:bCs/>
                <w:i/>
                <w:sz w:val="24"/>
                <w:lang w:val="en"/>
              </w:rPr>
              <w:t>p-value</w:t>
            </w:r>
          </w:p>
        </w:tc>
      </w:tr>
      <w:tr w:rsidR="007F4890" w:rsidRPr="007F4890" w14:paraId="62F3A900" w14:textId="77777777" w:rsidTr="007F4890">
        <w:trPr>
          <w:cantSplit/>
          <w:jc w:val="center"/>
        </w:trPr>
        <w:tc>
          <w:tcPr>
            <w:tcW w:w="2977" w:type="dxa"/>
            <w:tcBorders>
              <w:top w:val="single" w:sz="4" w:space="0" w:color="FFFFFF" w:themeColor="background1"/>
              <w:left w:val="single" w:sz="4" w:space="0" w:color="FFFFFF"/>
              <w:bottom w:val="single" w:sz="4" w:space="0" w:color="FFFFFF" w:themeColor="background1"/>
              <w:right w:val="single" w:sz="4" w:space="0" w:color="FFFFFF"/>
            </w:tcBorders>
          </w:tcPr>
          <w:p w14:paraId="0A5F07D4" w14:textId="77777777" w:rsidR="007F4890" w:rsidRPr="007F4890" w:rsidRDefault="007F4890" w:rsidP="007F4890">
            <w:pPr>
              <w:ind w:firstLine="0"/>
              <w:jc w:val="center"/>
              <w:rPr>
                <w:rFonts w:ascii="Arial Narrow" w:hAnsi="Arial Narrow"/>
                <w:sz w:val="24"/>
                <w:lang w:val="en"/>
              </w:rPr>
            </w:pPr>
            <w:r w:rsidRPr="007F4890">
              <w:rPr>
                <w:rFonts w:ascii="Arial Narrow" w:hAnsi="Arial Narrow"/>
                <w:sz w:val="24"/>
                <w:lang w:val="en"/>
              </w:rPr>
              <w:t>Nutrition Knowledge Before Nutrition Counseling</w:t>
            </w:r>
          </w:p>
        </w:tc>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7ABBFF5E" w14:textId="77777777" w:rsidR="007F4890" w:rsidRPr="007F4890" w:rsidRDefault="007F4890" w:rsidP="007F4890">
            <w:pPr>
              <w:ind w:firstLine="0"/>
              <w:rPr>
                <w:rFonts w:ascii="Arial Narrow" w:hAnsi="Arial Narrow"/>
                <w:sz w:val="24"/>
                <w:lang w:val="en"/>
              </w:rPr>
            </w:pPr>
            <w:r w:rsidRPr="007F4890">
              <w:rPr>
                <w:rFonts w:ascii="Arial Narrow" w:hAnsi="Arial Narrow"/>
                <w:sz w:val="24"/>
                <w:lang w:val="en"/>
              </w:rPr>
              <w:t>22</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tcPr>
          <w:p w14:paraId="1940B190" w14:textId="77777777" w:rsidR="007F4890" w:rsidRPr="007F4890" w:rsidRDefault="007F4890" w:rsidP="007F4890">
            <w:pPr>
              <w:ind w:firstLine="0"/>
              <w:rPr>
                <w:rFonts w:ascii="Arial Narrow" w:hAnsi="Arial Narrow"/>
                <w:sz w:val="24"/>
                <w:lang w:val="en"/>
              </w:rPr>
            </w:pPr>
            <w:r w:rsidRPr="007F4890">
              <w:rPr>
                <w:rFonts w:ascii="Arial Narrow" w:hAnsi="Arial Narrow"/>
                <w:sz w:val="24"/>
                <w:lang w:val="en"/>
              </w:rPr>
              <w:t>62.27</w:t>
            </w:r>
          </w:p>
        </w:tc>
        <w:tc>
          <w:tcPr>
            <w:tcW w:w="1275" w:type="dxa"/>
            <w:tcBorders>
              <w:top w:val="single" w:sz="4" w:space="0" w:color="FFFFFF" w:themeColor="background1"/>
              <w:left w:val="single" w:sz="4" w:space="0" w:color="FFFFFF"/>
              <w:bottom w:val="single" w:sz="4" w:space="0" w:color="FFFFFF" w:themeColor="background1"/>
              <w:right w:val="single" w:sz="4" w:space="0" w:color="FFFFFF"/>
            </w:tcBorders>
          </w:tcPr>
          <w:p w14:paraId="61E890E4" w14:textId="77777777" w:rsidR="007F4890" w:rsidRPr="007F4890" w:rsidRDefault="007F4890" w:rsidP="007F4890">
            <w:pPr>
              <w:ind w:firstLine="0"/>
              <w:rPr>
                <w:rFonts w:ascii="Arial Narrow" w:hAnsi="Arial Narrow"/>
                <w:sz w:val="24"/>
                <w:lang w:val="en"/>
              </w:rPr>
            </w:pPr>
            <w:r w:rsidRPr="007F4890">
              <w:rPr>
                <w:rFonts w:ascii="Arial Narrow" w:hAnsi="Arial Narrow"/>
                <w:sz w:val="24"/>
                <w:lang w:val="en"/>
              </w:rPr>
              <w:t>10.660</w:t>
            </w:r>
          </w:p>
        </w:tc>
        <w:tc>
          <w:tcPr>
            <w:tcW w:w="993" w:type="dxa"/>
            <w:vMerge w:val="restart"/>
            <w:tcBorders>
              <w:top w:val="single" w:sz="4" w:space="0" w:color="FFFFFF" w:themeColor="background1"/>
              <w:left w:val="single" w:sz="4" w:space="0" w:color="FFFFFF"/>
              <w:right w:val="single" w:sz="4" w:space="0" w:color="FFFFFF"/>
            </w:tcBorders>
            <w:vAlign w:val="center"/>
          </w:tcPr>
          <w:p w14:paraId="320B61C8" w14:textId="77777777" w:rsidR="007F4890" w:rsidRPr="007F4890" w:rsidRDefault="007F4890" w:rsidP="007F4890">
            <w:pPr>
              <w:ind w:firstLine="0"/>
              <w:rPr>
                <w:rFonts w:ascii="Arial Narrow" w:hAnsi="Arial Narrow"/>
                <w:sz w:val="24"/>
                <w:lang w:val="en"/>
              </w:rPr>
            </w:pPr>
            <w:r w:rsidRPr="007F4890">
              <w:rPr>
                <w:rFonts w:ascii="Arial Narrow" w:hAnsi="Arial Narrow"/>
                <w:sz w:val="24"/>
                <w:lang w:val="en"/>
              </w:rPr>
              <w:t>-4.202</w:t>
            </w:r>
          </w:p>
        </w:tc>
        <w:tc>
          <w:tcPr>
            <w:tcW w:w="1129" w:type="dxa"/>
            <w:vMerge w:val="restart"/>
            <w:tcBorders>
              <w:top w:val="single" w:sz="4" w:space="0" w:color="FFFFFF" w:themeColor="background1"/>
              <w:left w:val="single" w:sz="4" w:space="0" w:color="FFFFFF"/>
              <w:right w:val="single" w:sz="4" w:space="0" w:color="FFFFFF"/>
            </w:tcBorders>
            <w:vAlign w:val="center"/>
          </w:tcPr>
          <w:p w14:paraId="79B2FF28" w14:textId="77777777" w:rsidR="007F4890" w:rsidRPr="007F4890" w:rsidRDefault="007F4890" w:rsidP="007F4890">
            <w:pPr>
              <w:ind w:firstLine="0"/>
              <w:rPr>
                <w:rFonts w:ascii="Arial Narrow" w:hAnsi="Arial Narrow"/>
                <w:sz w:val="24"/>
                <w:lang w:val="en"/>
              </w:rPr>
            </w:pPr>
            <w:r w:rsidRPr="007F4890">
              <w:rPr>
                <w:rFonts w:ascii="Arial Narrow" w:hAnsi="Arial Narrow"/>
                <w:sz w:val="24"/>
                <w:lang w:val="en"/>
              </w:rPr>
              <w:t>0.000</w:t>
            </w:r>
          </w:p>
        </w:tc>
      </w:tr>
      <w:tr w:rsidR="007F4890" w:rsidRPr="007F4890" w14:paraId="11C5FB86" w14:textId="77777777" w:rsidTr="007F4890">
        <w:trPr>
          <w:cantSplit/>
          <w:trHeight w:val="460"/>
          <w:jc w:val="center"/>
        </w:trPr>
        <w:tc>
          <w:tcPr>
            <w:tcW w:w="2977" w:type="dxa"/>
            <w:tcBorders>
              <w:top w:val="single" w:sz="4" w:space="0" w:color="FFFFFF" w:themeColor="background1"/>
              <w:left w:val="single" w:sz="4" w:space="0" w:color="FFFFFF"/>
              <w:right w:val="single" w:sz="4" w:space="0" w:color="FFFFFF"/>
            </w:tcBorders>
          </w:tcPr>
          <w:p w14:paraId="38A74E6D" w14:textId="77777777" w:rsidR="007F4890" w:rsidRPr="007F4890" w:rsidRDefault="007F4890" w:rsidP="007F4890">
            <w:pPr>
              <w:ind w:firstLine="0"/>
              <w:jc w:val="center"/>
              <w:rPr>
                <w:rFonts w:ascii="Arial Narrow" w:hAnsi="Arial Narrow"/>
                <w:sz w:val="24"/>
                <w:lang w:val="en"/>
              </w:rPr>
            </w:pPr>
            <w:r w:rsidRPr="007F4890">
              <w:rPr>
                <w:rFonts w:ascii="Arial Narrow" w:hAnsi="Arial Narrow"/>
                <w:sz w:val="24"/>
                <w:lang w:val="en"/>
              </w:rPr>
              <w:t>Nutrition Knowledge After Nutrition Counseling</w:t>
            </w:r>
          </w:p>
        </w:tc>
        <w:tc>
          <w:tcPr>
            <w:tcW w:w="567" w:type="dxa"/>
            <w:tcBorders>
              <w:top w:val="single" w:sz="4" w:space="0" w:color="FFFFFF" w:themeColor="background1"/>
              <w:left w:val="single" w:sz="4" w:space="0" w:color="FFFFFF"/>
              <w:right w:val="single" w:sz="4" w:space="0" w:color="FFFFFF"/>
            </w:tcBorders>
          </w:tcPr>
          <w:p w14:paraId="057874E2" w14:textId="77777777" w:rsidR="007F4890" w:rsidRPr="007F4890" w:rsidRDefault="007F4890" w:rsidP="007F4890">
            <w:pPr>
              <w:ind w:firstLine="0"/>
              <w:rPr>
                <w:rFonts w:ascii="Arial Narrow" w:hAnsi="Arial Narrow"/>
                <w:sz w:val="24"/>
                <w:lang w:val="en"/>
              </w:rPr>
            </w:pPr>
            <w:r w:rsidRPr="007F4890">
              <w:rPr>
                <w:rFonts w:ascii="Arial Narrow" w:hAnsi="Arial Narrow"/>
                <w:sz w:val="24"/>
                <w:lang w:val="en"/>
              </w:rPr>
              <w:t>22</w:t>
            </w:r>
          </w:p>
        </w:tc>
        <w:tc>
          <w:tcPr>
            <w:tcW w:w="851" w:type="dxa"/>
            <w:tcBorders>
              <w:top w:val="single" w:sz="4" w:space="0" w:color="FFFFFF" w:themeColor="background1"/>
              <w:left w:val="single" w:sz="4" w:space="0" w:color="FFFFFF"/>
              <w:right w:val="single" w:sz="4" w:space="0" w:color="FFFFFF"/>
            </w:tcBorders>
          </w:tcPr>
          <w:p w14:paraId="7928A7F0" w14:textId="77777777" w:rsidR="007F4890" w:rsidRPr="007F4890" w:rsidRDefault="007F4890" w:rsidP="007F4890">
            <w:pPr>
              <w:ind w:firstLine="0"/>
              <w:rPr>
                <w:rFonts w:ascii="Arial Narrow" w:hAnsi="Arial Narrow"/>
                <w:sz w:val="24"/>
                <w:lang w:val="en"/>
              </w:rPr>
            </w:pPr>
            <w:r w:rsidRPr="007F4890">
              <w:rPr>
                <w:rFonts w:ascii="Arial Narrow" w:hAnsi="Arial Narrow"/>
                <w:sz w:val="24"/>
                <w:lang w:val="en"/>
              </w:rPr>
              <w:t>86.82</w:t>
            </w:r>
          </w:p>
        </w:tc>
        <w:tc>
          <w:tcPr>
            <w:tcW w:w="1275" w:type="dxa"/>
            <w:tcBorders>
              <w:top w:val="single" w:sz="4" w:space="0" w:color="FFFFFF" w:themeColor="background1"/>
              <w:left w:val="single" w:sz="4" w:space="0" w:color="FFFFFF"/>
              <w:right w:val="single" w:sz="4" w:space="0" w:color="FFFFFF"/>
            </w:tcBorders>
          </w:tcPr>
          <w:p w14:paraId="27BF97FA" w14:textId="77777777" w:rsidR="007F4890" w:rsidRPr="007F4890" w:rsidRDefault="007F4890" w:rsidP="007F4890">
            <w:pPr>
              <w:ind w:firstLine="0"/>
              <w:rPr>
                <w:rFonts w:ascii="Arial Narrow" w:hAnsi="Arial Narrow"/>
                <w:sz w:val="24"/>
                <w:lang w:val="en"/>
              </w:rPr>
            </w:pPr>
            <w:r w:rsidRPr="007F4890">
              <w:rPr>
                <w:rFonts w:ascii="Arial Narrow" w:hAnsi="Arial Narrow"/>
                <w:sz w:val="24"/>
                <w:lang w:val="en"/>
              </w:rPr>
              <w:t>8.937</w:t>
            </w:r>
          </w:p>
        </w:tc>
        <w:tc>
          <w:tcPr>
            <w:tcW w:w="993" w:type="dxa"/>
            <w:vMerge/>
            <w:tcBorders>
              <w:top w:val="single" w:sz="4" w:space="0" w:color="FFFFFF" w:themeColor="background1"/>
              <w:left w:val="single" w:sz="4" w:space="0" w:color="FFFFFF"/>
              <w:right w:val="single" w:sz="4" w:space="0" w:color="FFFFFF"/>
            </w:tcBorders>
            <w:vAlign w:val="center"/>
          </w:tcPr>
          <w:p w14:paraId="7C3619F9" w14:textId="77777777" w:rsidR="007F4890" w:rsidRPr="007F4890" w:rsidRDefault="007F4890" w:rsidP="007F4890">
            <w:pPr>
              <w:ind w:firstLine="0"/>
              <w:rPr>
                <w:rFonts w:ascii="Arial Narrow" w:hAnsi="Arial Narrow"/>
                <w:sz w:val="24"/>
                <w:lang w:val="en"/>
              </w:rPr>
            </w:pPr>
          </w:p>
        </w:tc>
        <w:tc>
          <w:tcPr>
            <w:tcW w:w="1129" w:type="dxa"/>
            <w:vMerge/>
            <w:tcBorders>
              <w:left w:val="single" w:sz="4" w:space="0" w:color="FFFFFF"/>
              <w:right w:val="single" w:sz="4" w:space="0" w:color="FFFFFF"/>
            </w:tcBorders>
            <w:vAlign w:val="center"/>
          </w:tcPr>
          <w:p w14:paraId="428F6296" w14:textId="77777777" w:rsidR="007F4890" w:rsidRPr="007F4890" w:rsidRDefault="007F4890" w:rsidP="007F4890">
            <w:pPr>
              <w:ind w:firstLine="0"/>
              <w:rPr>
                <w:rFonts w:ascii="Arial Narrow" w:hAnsi="Arial Narrow"/>
                <w:sz w:val="24"/>
                <w:lang w:val="en"/>
              </w:rPr>
            </w:pPr>
          </w:p>
        </w:tc>
      </w:tr>
    </w:tbl>
    <w:p w14:paraId="42985181" w14:textId="77777777" w:rsidR="004B1F4C" w:rsidRDefault="004B1F4C" w:rsidP="004B1F4C">
      <w:pPr>
        <w:ind w:firstLine="0"/>
        <w:rPr>
          <w:rFonts w:ascii="Arial Narrow" w:hAnsi="Arial Narrow"/>
          <w:sz w:val="24"/>
        </w:rPr>
      </w:pPr>
    </w:p>
    <w:p w14:paraId="687B93D5" w14:textId="439F89AA" w:rsidR="004B1F4C" w:rsidRDefault="009C6399" w:rsidP="004B1F4C">
      <w:pPr>
        <w:ind w:firstLine="0"/>
        <w:rPr>
          <w:rFonts w:ascii="Arial Narrow" w:hAnsi="Arial Narrow"/>
          <w:sz w:val="24"/>
        </w:rPr>
      </w:pPr>
      <w:r>
        <w:rPr>
          <w:noProof/>
        </w:rPr>
        <w:drawing>
          <wp:anchor distT="0" distB="0" distL="114300" distR="114300" simplePos="0" relativeHeight="251659264" behindDoc="0" locked="0" layoutInCell="1" allowOverlap="1" wp14:anchorId="2980CF37" wp14:editId="21DB051E">
            <wp:simplePos x="0" y="0"/>
            <wp:positionH relativeFrom="margin">
              <wp:posOffset>1291590</wp:posOffset>
            </wp:positionH>
            <wp:positionV relativeFrom="paragraph">
              <wp:posOffset>7620</wp:posOffset>
            </wp:positionV>
            <wp:extent cx="3569335" cy="2116455"/>
            <wp:effectExtent l="0" t="0" r="12065" b="17145"/>
            <wp:wrapSquare wrapText="bothSides"/>
            <wp:docPr id="5" name="Chart 5">
              <a:extLst xmlns:a="http://schemas.openxmlformats.org/drawingml/2006/main">
                <a:ext uri="{FF2B5EF4-FFF2-40B4-BE49-F238E27FC236}">
                  <a16:creationId xmlns:a16="http://schemas.microsoft.com/office/drawing/2014/main" id="{037F5BE1-2941-4ECE-9D89-A58820024E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4B1F4C">
        <w:rPr>
          <w:rFonts w:ascii="Arial Narrow" w:hAnsi="Arial Narrow"/>
          <w:sz w:val="24"/>
        </w:rPr>
        <w:t xml:space="preserve">                          </w:t>
      </w:r>
    </w:p>
    <w:p w14:paraId="5F7F5BAA" w14:textId="77777777" w:rsidR="009C6399" w:rsidRDefault="009C6399" w:rsidP="004B1F4C">
      <w:pPr>
        <w:ind w:firstLine="0"/>
        <w:rPr>
          <w:rFonts w:ascii="Arial Narrow" w:hAnsi="Arial Narrow"/>
          <w:sz w:val="24"/>
        </w:rPr>
      </w:pPr>
    </w:p>
    <w:p w14:paraId="0F52D077" w14:textId="77777777" w:rsidR="009C6399" w:rsidRDefault="009C6399" w:rsidP="004B1F4C">
      <w:pPr>
        <w:ind w:firstLine="0"/>
        <w:rPr>
          <w:rFonts w:ascii="Arial Narrow" w:hAnsi="Arial Narrow"/>
          <w:sz w:val="24"/>
        </w:rPr>
      </w:pPr>
    </w:p>
    <w:p w14:paraId="5732FE60" w14:textId="77777777" w:rsidR="009C6399" w:rsidRDefault="009C6399" w:rsidP="004B1F4C">
      <w:pPr>
        <w:ind w:firstLine="0"/>
        <w:rPr>
          <w:rFonts w:ascii="Arial Narrow" w:hAnsi="Arial Narrow"/>
          <w:sz w:val="24"/>
        </w:rPr>
      </w:pPr>
    </w:p>
    <w:p w14:paraId="1FC35E4A" w14:textId="77777777" w:rsidR="009C6399" w:rsidRDefault="009C6399" w:rsidP="004B1F4C">
      <w:pPr>
        <w:ind w:firstLine="0"/>
        <w:rPr>
          <w:rFonts w:ascii="Arial Narrow" w:hAnsi="Arial Narrow"/>
          <w:sz w:val="24"/>
        </w:rPr>
      </w:pPr>
    </w:p>
    <w:p w14:paraId="4C6B69BA" w14:textId="77777777" w:rsidR="009C6399" w:rsidRDefault="009C6399" w:rsidP="004B1F4C">
      <w:pPr>
        <w:ind w:firstLine="0"/>
        <w:rPr>
          <w:rFonts w:ascii="Arial Narrow" w:hAnsi="Arial Narrow"/>
          <w:sz w:val="24"/>
        </w:rPr>
      </w:pPr>
    </w:p>
    <w:p w14:paraId="29CAA1B6" w14:textId="77777777" w:rsidR="009C6399" w:rsidRDefault="009C6399" w:rsidP="004B1F4C">
      <w:pPr>
        <w:ind w:firstLine="0"/>
        <w:rPr>
          <w:rFonts w:ascii="Arial Narrow" w:hAnsi="Arial Narrow"/>
          <w:sz w:val="24"/>
        </w:rPr>
      </w:pPr>
    </w:p>
    <w:p w14:paraId="75097809" w14:textId="77777777" w:rsidR="009C6399" w:rsidRDefault="009C6399" w:rsidP="004B1F4C">
      <w:pPr>
        <w:ind w:firstLine="0"/>
        <w:rPr>
          <w:rFonts w:ascii="Arial Narrow" w:hAnsi="Arial Narrow"/>
          <w:sz w:val="24"/>
        </w:rPr>
      </w:pPr>
    </w:p>
    <w:p w14:paraId="56FCCE4B" w14:textId="77777777" w:rsidR="009C6399" w:rsidRPr="009C6399" w:rsidRDefault="009C6399" w:rsidP="004B1F4C">
      <w:pPr>
        <w:ind w:firstLine="0"/>
        <w:rPr>
          <w:rFonts w:ascii="Arial Narrow" w:hAnsi="Arial Narrow"/>
          <w:sz w:val="20"/>
          <w:szCs w:val="20"/>
        </w:rPr>
      </w:pPr>
    </w:p>
    <w:p w14:paraId="6C95BC39" w14:textId="7A7BE97D" w:rsidR="009C6399" w:rsidRDefault="004B1F4C" w:rsidP="00323731">
      <w:pPr>
        <w:ind w:firstLine="0"/>
        <w:jc w:val="center"/>
        <w:rPr>
          <w:rFonts w:ascii="Arial Narrow" w:hAnsi="Arial Narrow"/>
          <w:color w:val="000000"/>
          <w:sz w:val="20"/>
          <w:szCs w:val="20"/>
        </w:rPr>
      </w:pPr>
      <w:r w:rsidRPr="009C6399">
        <w:rPr>
          <w:rFonts w:ascii="Arial Narrow" w:hAnsi="Arial Narrow"/>
          <w:b/>
          <w:bCs/>
          <w:sz w:val="20"/>
          <w:szCs w:val="20"/>
        </w:rPr>
        <w:t>Picture 1</w:t>
      </w:r>
      <w:r w:rsidRPr="009C6399">
        <w:rPr>
          <w:rFonts w:ascii="Arial Narrow" w:hAnsi="Arial Narrow"/>
          <w:sz w:val="20"/>
          <w:szCs w:val="20"/>
        </w:rPr>
        <w:t xml:space="preserve">. </w:t>
      </w:r>
      <w:r w:rsidR="009C6399" w:rsidRPr="009C6399">
        <w:rPr>
          <w:rFonts w:ascii="Arial Narrow" w:hAnsi="Arial Narrow"/>
          <w:color w:val="000000"/>
          <w:sz w:val="20"/>
          <w:szCs w:val="20"/>
        </w:rPr>
        <w:t>Graph of the average nutritional knowledge score before and after nutritional counseling</w:t>
      </w:r>
    </w:p>
    <w:p w14:paraId="7EB95EBC" w14:textId="77777777" w:rsidR="000F4EE6" w:rsidRPr="00323731" w:rsidRDefault="000F4EE6" w:rsidP="00323731">
      <w:pPr>
        <w:ind w:firstLine="0"/>
        <w:jc w:val="center"/>
        <w:rPr>
          <w:rFonts w:ascii="Arial Narrow" w:hAnsi="Arial Narrow"/>
          <w:color w:val="000000"/>
          <w:sz w:val="20"/>
          <w:szCs w:val="20"/>
        </w:rPr>
      </w:pPr>
    </w:p>
    <w:p w14:paraId="76208591" w14:textId="4762B963" w:rsidR="009C6399" w:rsidRPr="000F4EE6" w:rsidRDefault="009C6399" w:rsidP="009C6399">
      <w:pPr>
        <w:pStyle w:val="NormalWeb"/>
        <w:spacing w:before="0" w:beforeAutospacing="0" w:after="0" w:afterAutospacing="0"/>
        <w:jc w:val="both"/>
        <w:rPr>
          <w:rFonts w:ascii="Arial Narrow" w:hAnsi="Arial Narrow"/>
          <w:b/>
          <w:bCs/>
          <w:color w:val="000000"/>
        </w:rPr>
      </w:pPr>
      <w:r w:rsidRPr="000F4EE6">
        <w:rPr>
          <w:rFonts w:ascii="Arial Narrow" w:hAnsi="Arial Narrow"/>
          <w:b/>
          <w:bCs/>
          <w:color w:val="000000"/>
        </w:rPr>
        <w:t>Analysis of differences in energy intake before and after treatment</w:t>
      </w:r>
    </w:p>
    <w:p w14:paraId="316EED59" w14:textId="2BE06153" w:rsidR="009C6399" w:rsidRDefault="009C6399" w:rsidP="009C6399">
      <w:pPr>
        <w:pStyle w:val="NormalWeb"/>
        <w:spacing w:before="0" w:beforeAutospacing="0" w:after="0" w:afterAutospacing="0"/>
        <w:jc w:val="both"/>
        <w:rPr>
          <w:rFonts w:ascii="Arial Narrow" w:hAnsi="Arial Narrow"/>
          <w:sz w:val="28"/>
          <w:szCs w:val="28"/>
        </w:rPr>
      </w:pPr>
    </w:p>
    <w:p w14:paraId="30AD76BD" w14:textId="33F37BD9" w:rsidR="00F84809" w:rsidRPr="00323731" w:rsidRDefault="00F84809" w:rsidP="00323731">
      <w:pPr>
        <w:spacing w:line="240" w:lineRule="auto"/>
        <w:ind w:left="284" w:firstLine="436"/>
        <w:rPr>
          <w:rFonts w:ascii="Arial Narrow" w:eastAsia="Times New Roman" w:hAnsi="Arial Narrow" w:cs="Times New Roman"/>
          <w:sz w:val="24"/>
        </w:rPr>
      </w:pPr>
      <w:r w:rsidRPr="00F84809">
        <w:rPr>
          <w:rFonts w:ascii="Arial Narrow" w:eastAsia="Times New Roman" w:hAnsi="Arial Narrow" w:cs="Times New Roman"/>
          <w:sz w:val="24"/>
        </w:rPr>
        <w:t xml:space="preserve">In table 2 the values </w:t>
      </w:r>
      <w:r w:rsidRPr="00F84809">
        <w:rPr>
          <w:rFonts w:ascii="Arial" w:eastAsia="Times New Roman" w:hAnsi="Arial" w:cs="Arial"/>
          <w:sz w:val="24"/>
        </w:rPr>
        <w:t>​​</w:t>
      </w:r>
      <w:r w:rsidRPr="00F84809">
        <w:rPr>
          <w:rFonts w:ascii="Arial Narrow" w:eastAsia="Times New Roman" w:hAnsi="Arial Narrow" w:cs="Times New Roman"/>
          <w:sz w:val="24"/>
        </w:rPr>
        <w:t xml:space="preserve">are known </w:t>
      </w:r>
      <w:r w:rsidRPr="00F84809">
        <w:rPr>
          <w:rFonts w:ascii="Arial Narrow" w:eastAsia="Times New Roman" w:hAnsi="Arial Narrow" w:cs="Times New Roman"/>
          <w:i/>
          <w:sz w:val="24"/>
        </w:rPr>
        <w:t>p-value</w:t>
      </w:r>
      <w:r w:rsidRPr="00F84809">
        <w:rPr>
          <w:rFonts w:ascii="Arial Narrow" w:eastAsia="Times New Roman" w:hAnsi="Arial Narrow" w:cs="Times New Roman"/>
          <w:sz w:val="24"/>
        </w:rPr>
        <w:t xml:space="preserve"> is 0.175 &gt; 0.05, then H0 is accepted and H1 is rejected. So it can be concluded that there is no difference in average energy intake before and after nutritional counseling. So it was concluded that nutritional counseling had no effect on increasing the patient's energy intake.</w:t>
      </w:r>
    </w:p>
    <w:p w14:paraId="09B0F3CD" w14:textId="77777777" w:rsidR="00F84809" w:rsidRPr="00F84809" w:rsidRDefault="00F84809" w:rsidP="00F84809">
      <w:pPr>
        <w:spacing w:line="240" w:lineRule="auto"/>
        <w:jc w:val="center"/>
        <w:rPr>
          <w:rFonts w:ascii="Arial Narrow" w:eastAsia="Times New Roman" w:hAnsi="Arial Narrow" w:cs="Times New Roman"/>
          <w:sz w:val="20"/>
          <w:szCs w:val="18"/>
        </w:rPr>
      </w:pPr>
      <w:r w:rsidRPr="00F84809">
        <w:rPr>
          <w:rFonts w:ascii="Arial Narrow" w:eastAsia="Times New Roman" w:hAnsi="Arial Narrow" w:cs="Times New Roman"/>
          <w:b/>
          <w:bCs/>
          <w:sz w:val="20"/>
          <w:szCs w:val="18"/>
        </w:rPr>
        <w:t>Table 2.</w:t>
      </w:r>
      <w:r w:rsidRPr="00F84809">
        <w:rPr>
          <w:rFonts w:ascii="Arial Narrow" w:eastAsia="Times New Roman" w:hAnsi="Arial Narrow" w:cs="Times New Roman"/>
          <w:sz w:val="20"/>
          <w:szCs w:val="18"/>
        </w:rPr>
        <w:t xml:space="preserve"> Results of Paired T Test Analysis of Energy Intake</w:t>
      </w:r>
    </w:p>
    <w:p w14:paraId="6485A95B" w14:textId="77777777" w:rsidR="00F84809" w:rsidRDefault="00F84809" w:rsidP="00F84809">
      <w:pPr>
        <w:spacing w:line="240" w:lineRule="auto"/>
        <w:rPr>
          <w:rFonts w:eastAsia="Times New Roman" w:cs="Times New Roman"/>
        </w:rPr>
      </w:pPr>
      <w:r>
        <w:rPr>
          <w:rFonts w:eastAsia="Times New Roman" w:cs="Times New Roman"/>
        </w:rPr>
        <w:t xml:space="preserve"> </w:t>
      </w: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
        <w:gridCol w:w="992"/>
        <w:gridCol w:w="1276"/>
        <w:gridCol w:w="992"/>
        <w:gridCol w:w="1276"/>
      </w:tblGrid>
      <w:tr w:rsidR="00F84809" w:rsidRPr="00F84809" w14:paraId="57A79206" w14:textId="77777777" w:rsidTr="00F84809">
        <w:trPr>
          <w:jc w:val="center"/>
        </w:trPr>
        <w:tc>
          <w:tcPr>
            <w:tcW w:w="2268" w:type="dxa"/>
            <w:tcBorders>
              <w:left w:val="single" w:sz="4" w:space="0" w:color="FFFFFF"/>
              <w:bottom w:val="single" w:sz="4" w:space="0" w:color="FFFFFF" w:themeColor="background1"/>
              <w:right w:val="single" w:sz="4" w:space="0" w:color="FFFFFF"/>
            </w:tcBorders>
          </w:tcPr>
          <w:p w14:paraId="473FD54D" w14:textId="77777777" w:rsidR="00F84809" w:rsidRPr="00F84809" w:rsidRDefault="00F84809" w:rsidP="00F84809">
            <w:pPr>
              <w:ind w:firstLine="0"/>
              <w:rPr>
                <w:rFonts w:ascii="Arial Narrow" w:hAnsi="Arial Narrow"/>
                <w:b/>
                <w:bCs/>
                <w:sz w:val="24"/>
                <w:lang w:val="en"/>
              </w:rPr>
            </w:pPr>
          </w:p>
        </w:tc>
        <w:tc>
          <w:tcPr>
            <w:tcW w:w="567" w:type="dxa"/>
            <w:tcBorders>
              <w:left w:val="single" w:sz="4" w:space="0" w:color="FFFFFF"/>
              <w:bottom w:val="single" w:sz="4" w:space="0" w:color="FFFFFF" w:themeColor="background1"/>
              <w:right w:val="single" w:sz="4" w:space="0" w:color="FFFFFF"/>
            </w:tcBorders>
          </w:tcPr>
          <w:p w14:paraId="76E6CC74" w14:textId="77777777" w:rsidR="00F84809" w:rsidRPr="00F84809" w:rsidRDefault="00F84809" w:rsidP="00F84809">
            <w:pPr>
              <w:ind w:firstLine="0"/>
              <w:rPr>
                <w:rFonts w:ascii="Arial Narrow" w:hAnsi="Arial Narrow"/>
                <w:b/>
                <w:bCs/>
                <w:sz w:val="24"/>
                <w:lang w:val="en"/>
              </w:rPr>
            </w:pPr>
            <w:r w:rsidRPr="00F84809">
              <w:rPr>
                <w:rFonts w:ascii="Arial Narrow" w:hAnsi="Arial Narrow"/>
                <w:b/>
                <w:bCs/>
                <w:sz w:val="24"/>
                <w:lang w:val="en"/>
              </w:rPr>
              <w:t>n</w:t>
            </w:r>
          </w:p>
        </w:tc>
        <w:tc>
          <w:tcPr>
            <w:tcW w:w="992" w:type="dxa"/>
            <w:tcBorders>
              <w:left w:val="single" w:sz="4" w:space="0" w:color="FFFFFF"/>
              <w:bottom w:val="single" w:sz="4" w:space="0" w:color="FFFFFF" w:themeColor="background1"/>
              <w:right w:val="single" w:sz="4" w:space="0" w:color="FFFFFF"/>
            </w:tcBorders>
          </w:tcPr>
          <w:p w14:paraId="0F3E640C" w14:textId="4A0E78F2" w:rsidR="00F84809" w:rsidRPr="00F84809" w:rsidRDefault="00F84809" w:rsidP="00F84809">
            <w:pPr>
              <w:ind w:firstLine="0"/>
              <w:rPr>
                <w:rFonts w:ascii="Arial Narrow" w:hAnsi="Arial Narrow"/>
                <w:b/>
                <w:bCs/>
                <w:sz w:val="24"/>
                <w:lang w:val="en"/>
              </w:rPr>
            </w:pPr>
            <w:r w:rsidRPr="00323731">
              <w:rPr>
                <w:rFonts w:ascii="Arial Narrow" w:hAnsi="Arial Narrow"/>
                <w:b/>
                <w:bCs/>
                <w:sz w:val="24"/>
                <w:lang w:val="en"/>
              </w:rPr>
              <w:t>X</w:t>
            </w:r>
          </w:p>
        </w:tc>
        <w:tc>
          <w:tcPr>
            <w:tcW w:w="1276" w:type="dxa"/>
            <w:tcBorders>
              <w:left w:val="single" w:sz="4" w:space="0" w:color="FFFFFF"/>
              <w:bottom w:val="single" w:sz="4" w:space="0" w:color="FFFFFF" w:themeColor="background1"/>
              <w:right w:val="single" w:sz="4" w:space="0" w:color="FFFFFF"/>
            </w:tcBorders>
          </w:tcPr>
          <w:p w14:paraId="6790D508" w14:textId="77777777" w:rsidR="00F84809" w:rsidRPr="00F84809" w:rsidRDefault="00F84809" w:rsidP="00F84809">
            <w:pPr>
              <w:ind w:firstLine="0"/>
              <w:rPr>
                <w:rFonts w:ascii="Arial Narrow" w:hAnsi="Arial Narrow"/>
                <w:b/>
                <w:bCs/>
                <w:sz w:val="24"/>
                <w:lang w:val="en"/>
              </w:rPr>
            </w:pPr>
            <w:r w:rsidRPr="00F84809">
              <w:rPr>
                <w:rFonts w:ascii="Arial Narrow" w:hAnsi="Arial Narrow"/>
                <w:b/>
                <w:bCs/>
                <w:sz w:val="24"/>
                <w:lang w:val="en"/>
              </w:rPr>
              <w:t>SD</w:t>
            </w:r>
          </w:p>
        </w:tc>
        <w:tc>
          <w:tcPr>
            <w:tcW w:w="992" w:type="dxa"/>
            <w:tcBorders>
              <w:left w:val="single" w:sz="4" w:space="0" w:color="FFFFFF"/>
              <w:bottom w:val="single" w:sz="4" w:space="0" w:color="FFFFFF" w:themeColor="background1"/>
              <w:right w:val="single" w:sz="4" w:space="0" w:color="FFFFFF"/>
            </w:tcBorders>
          </w:tcPr>
          <w:p w14:paraId="3A498858" w14:textId="77777777" w:rsidR="00F84809" w:rsidRPr="00F84809" w:rsidRDefault="00F84809" w:rsidP="00F84809">
            <w:pPr>
              <w:ind w:firstLine="0"/>
              <w:rPr>
                <w:rFonts w:ascii="Arial Narrow" w:hAnsi="Arial Narrow"/>
                <w:b/>
                <w:bCs/>
                <w:sz w:val="24"/>
                <w:lang w:val="en"/>
              </w:rPr>
            </w:pPr>
            <w:r w:rsidRPr="00F84809">
              <w:rPr>
                <w:rFonts w:ascii="Arial Narrow" w:hAnsi="Arial Narrow"/>
                <w:b/>
                <w:bCs/>
                <w:sz w:val="24"/>
                <w:lang w:val="en"/>
              </w:rPr>
              <w:t>t</w:t>
            </w:r>
          </w:p>
        </w:tc>
        <w:tc>
          <w:tcPr>
            <w:tcW w:w="1276" w:type="dxa"/>
            <w:tcBorders>
              <w:left w:val="single" w:sz="4" w:space="0" w:color="FFFFFF"/>
              <w:bottom w:val="single" w:sz="4" w:space="0" w:color="FFFFFF" w:themeColor="background1"/>
              <w:right w:val="single" w:sz="4" w:space="0" w:color="FFFFFF"/>
            </w:tcBorders>
          </w:tcPr>
          <w:p w14:paraId="32007C26" w14:textId="77777777" w:rsidR="00F84809" w:rsidRPr="00F84809" w:rsidRDefault="00F84809" w:rsidP="00F84809">
            <w:pPr>
              <w:ind w:firstLine="0"/>
              <w:rPr>
                <w:rFonts w:ascii="Arial Narrow" w:hAnsi="Arial Narrow"/>
                <w:b/>
                <w:bCs/>
                <w:sz w:val="24"/>
                <w:lang w:val="en"/>
              </w:rPr>
            </w:pPr>
            <w:r w:rsidRPr="00F84809">
              <w:rPr>
                <w:rFonts w:ascii="Arial Narrow" w:hAnsi="Arial Narrow"/>
                <w:b/>
                <w:bCs/>
                <w:sz w:val="24"/>
                <w:lang w:val="en"/>
              </w:rPr>
              <w:t xml:space="preserve">p-value </w:t>
            </w:r>
          </w:p>
        </w:tc>
      </w:tr>
      <w:tr w:rsidR="00F84809" w:rsidRPr="00F84809" w14:paraId="07B02FEA" w14:textId="77777777" w:rsidTr="00F84809">
        <w:trPr>
          <w:cantSplit/>
          <w:jc w:val="center"/>
        </w:trPr>
        <w:tc>
          <w:tcPr>
            <w:tcW w:w="2268" w:type="dxa"/>
            <w:tcBorders>
              <w:top w:val="single" w:sz="4" w:space="0" w:color="FFFFFF" w:themeColor="background1"/>
              <w:left w:val="single" w:sz="4" w:space="0" w:color="FFFFFF"/>
              <w:bottom w:val="single" w:sz="4" w:space="0" w:color="FFFFFF" w:themeColor="background1"/>
              <w:right w:val="single" w:sz="4" w:space="0" w:color="FFFFFF"/>
            </w:tcBorders>
          </w:tcPr>
          <w:p w14:paraId="5299D050" w14:textId="77777777" w:rsidR="00F84809" w:rsidRPr="00F84809" w:rsidRDefault="00F84809" w:rsidP="00F84809">
            <w:pPr>
              <w:ind w:firstLine="0"/>
              <w:jc w:val="center"/>
              <w:rPr>
                <w:rFonts w:ascii="Arial Narrow" w:hAnsi="Arial Narrow"/>
                <w:sz w:val="24"/>
                <w:lang w:val="en"/>
              </w:rPr>
            </w:pPr>
            <w:r w:rsidRPr="00F84809">
              <w:rPr>
                <w:rFonts w:ascii="Arial Narrow" w:hAnsi="Arial Narrow"/>
                <w:sz w:val="24"/>
                <w:lang w:val="en"/>
              </w:rPr>
              <w:t>Energy Intake Before Counseling</w:t>
            </w:r>
          </w:p>
        </w:tc>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71D9689F" w14:textId="77777777" w:rsidR="00F84809" w:rsidRPr="00F84809" w:rsidRDefault="00F84809" w:rsidP="00F84809">
            <w:pPr>
              <w:ind w:firstLine="0"/>
              <w:rPr>
                <w:rFonts w:ascii="Arial Narrow" w:hAnsi="Arial Narrow"/>
                <w:sz w:val="24"/>
                <w:lang w:val="en"/>
              </w:rPr>
            </w:pPr>
            <w:r w:rsidRPr="00F84809">
              <w:rPr>
                <w:rFonts w:ascii="Arial Narrow" w:hAnsi="Arial Narrow"/>
                <w:sz w:val="24"/>
                <w:lang w:val="en"/>
              </w:rPr>
              <w:t>22</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tcPr>
          <w:p w14:paraId="3C8F9A9E" w14:textId="77777777" w:rsidR="00F84809" w:rsidRPr="00F84809" w:rsidRDefault="00F84809" w:rsidP="00F84809">
            <w:pPr>
              <w:ind w:firstLine="0"/>
              <w:rPr>
                <w:rFonts w:ascii="Arial Narrow" w:hAnsi="Arial Narrow"/>
                <w:sz w:val="24"/>
                <w:lang w:val="en"/>
              </w:rPr>
            </w:pPr>
            <w:r w:rsidRPr="00F84809">
              <w:rPr>
                <w:rFonts w:ascii="Arial Narrow" w:hAnsi="Arial Narrow"/>
                <w:sz w:val="24"/>
                <w:lang w:val="en"/>
              </w:rPr>
              <w:t>1298.43</w:t>
            </w:r>
          </w:p>
        </w:tc>
        <w:tc>
          <w:tcPr>
            <w:tcW w:w="1276" w:type="dxa"/>
            <w:tcBorders>
              <w:top w:val="single" w:sz="4" w:space="0" w:color="FFFFFF" w:themeColor="background1"/>
              <w:left w:val="single" w:sz="4" w:space="0" w:color="FFFFFF"/>
              <w:bottom w:val="single" w:sz="4" w:space="0" w:color="FFFFFF" w:themeColor="background1"/>
              <w:right w:val="single" w:sz="4" w:space="0" w:color="FFFFFF"/>
            </w:tcBorders>
          </w:tcPr>
          <w:p w14:paraId="6C2B66CD" w14:textId="77777777" w:rsidR="00F84809" w:rsidRPr="00F84809" w:rsidRDefault="00F84809" w:rsidP="00F84809">
            <w:pPr>
              <w:ind w:firstLine="0"/>
              <w:rPr>
                <w:rFonts w:ascii="Arial Narrow" w:hAnsi="Arial Narrow"/>
                <w:sz w:val="24"/>
                <w:lang w:val="en"/>
              </w:rPr>
            </w:pPr>
            <w:r w:rsidRPr="00F84809">
              <w:rPr>
                <w:rFonts w:ascii="Arial Narrow" w:hAnsi="Arial Narrow"/>
                <w:sz w:val="24"/>
                <w:lang w:val="en"/>
              </w:rPr>
              <w:t>224.489</w:t>
            </w:r>
          </w:p>
        </w:tc>
        <w:tc>
          <w:tcPr>
            <w:tcW w:w="992" w:type="dxa"/>
            <w:vMerge w:val="restart"/>
            <w:tcBorders>
              <w:top w:val="single" w:sz="4" w:space="0" w:color="FFFFFF" w:themeColor="background1"/>
              <w:left w:val="single" w:sz="4" w:space="0" w:color="FFFFFF"/>
              <w:right w:val="single" w:sz="4" w:space="0" w:color="FFFFFF"/>
            </w:tcBorders>
            <w:vAlign w:val="center"/>
          </w:tcPr>
          <w:p w14:paraId="5813CAA5" w14:textId="77777777" w:rsidR="00F84809" w:rsidRPr="00F84809" w:rsidRDefault="00F84809" w:rsidP="00F84809">
            <w:pPr>
              <w:ind w:firstLine="0"/>
              <w:rPr>
                <w:rFonts w:ascii="Arial Narrow" w:hAnsi="Arial Narrow"/>
                <w:sz w:val="24"/>
                <w:lang w:val="en"/>
              </w:rPr>
            </w:pPr>
            <w:r w:rsidRPr="00F84809">
              <w:rPr>
                <w:rFonts w:ascii="Arial Narrow" w:hAnsi="Arial Narrow"/>
                <w:sz w:val="24"/>
                <w:lang w:val="en"/>
              </w:rPr>
              <w:t>1.404</w:t>
            </w:r>
          </w:p>
        </w:tc>
        <w:tc>
          <w:tcPr>
            <w:tcW w:w="1276" w:type="dxa"/>
            <w:vMerge w:val="restart"/>
            <w:tcBorders>
              <w:top w:val="single" w:sz="4" w:space="0" w:color="FFFFFF" w:themeColor="background1"/>
              <w:left w:val="single" w:sz="4" w:space="0" w:color="FFFFFF"/>
              <w:right w:val="single" w:sz="4" w:space="0" w:color="FFFFFF"/>
            </w:tcBorders>
            <w:vAlign w:val="center"/>
          </w:tcPr>
          <w:p w14:paraId="0A5205AB" w14:textId="77777777" w:rsidR="00F84809" w:rsidRPr="00F84809" w:rsidRDefault="00F84809" w:rsidP="00F84809">
            <w:pPr>
              <w:ind w:firstLine="0"/>
              <w:rPr>
                <w:rFonts w:ascii="Arial Narrow" w:hAnsi="Arial Narrow"/>
                <w:sz w:val="24"/>
                <w:lang w:val="en"/>
              </w:rPr>
            </w:pPr>
            <w:r w:rsidRPr="00F84809">
              <w:rPr>
                <w:rFonts w:ascii="Arial Narrow" w:hAnsi="Arial Narrow"/>
                <w:sz w:val="24"/>
                <w:lang w:val="en"/>
              </w:rPr>
              <w:t>0.175</w:t>
            </w:r>
          </w:p>
        </w:tc>
      </w:tr>
      <w:tr w:rsidR="00F84809" w:rsidRPr="00F84809" w14:paraId="6A6D6458" w14:textId="77777777" w:rsidTr="00F84809">
        <w:trPr>
          <w:cantSplit/>
          <w:jc w:val="center"/>
        </w:trPr>
        <w:tc>
          <w:tcPr>
            <w:tcW w:w="2268" w:type="dxa"/>
            <w:tcBorders>
              <w:top w:val="single" w:sz="4" w:space="0" w:color="FFFFFF" w:themeColor="background1"/>
              <w:left w:val="single" w:sz="4" w:space="0" w:color="FFFFFF"/>
              <w:right w:val="single" w:sz="4" w:space="0" w:color="FFFFFF"/>
            </w:tcBorders>
          </w:tcPr>
          <w:p w14:paraId="0D2ADFBB" w14:textId="77777777" w:rsidR="00F84809" w:rsidRPr="00F84809" w:rsidRDefault="00F84809" w:rsidP="00F84809">
            <w:pPr>
              <w:ind w:firstLine="0"/>
              <w:jc w:val="center"/>
              <w:rPr>
                <w:rFonts w:ascii="Arial Narrow" w:hAnsi="Arial Narrow"/>
                <w:sz w:val="24"/>
                <w:lang w:val="en"/>
              </w:rPr>
            </w:pPr>
            <w:r w:rsidRPr="00F84809">
              <w:rPr>
                <w:rFonts w:ascii="Arial Narrow" w:hAnsi="Arial Narrow"/>
                <w:sz w:val="24"/>
                <w:lang w:val="en"/>
              </w:rPr>
              <w:t>Energy Intake After Counseling</w:t>
            </w:r>
          </w:p>
        </w:tc>
        <w:tc>
          <w:tcPr>
            <w:tcW w:w="567" w:type="dxa"/>
            <w:tcBorders>
              <w:top w:val="single" w:sz="4" w:space="0" w:color="FFFFFF" w:themeColor="background1"/>
              <w:left w:val="single" w:sz="4" w:space="0" w:color="FFFFFF"/>
              <w:right w:val="single" w:sz="4" w:space="0" w:color="FFFFFF"/>
            </w:tcBorders>
          </w:tcPr>
          <w:p w14:paraId="40D5B37E" w14:textId="77777777" w:rsidR="00F84809" w:rsidRPr="00F84809" w:rsidRDefault="00F84809" w:rsidP="00F84809">
            <w:pPr>
              <w:ind w:firstLine="0"/>
              <w:rPr>
                <w:rFonts w:ascii="Arial Narrow" w:hAnsi="Arial Narrow"/>
                <w:sz w:val="24"/>
                <w:lang w:val="en"/>
              </w:rPr>
            </w:pPr>
            <w:r w:rsidRPr="00F84809">
              <w:rPr>
                <w:rFonts w:ascii="Arial Narrow" w:hAnsi="Arial Narrow"/>
                <w:sz w:val="24"/>
                <w:lang w:val="en"/>
              </w:rPr>
              <w:t>22</w:t>
            </w:r>
          </w:p>
        </w:tc>
        <w:tc>
          <w:tcPr>
            <w:tcW w:w="992" w:type="dxa"/>
            <w:tcBorders>
              <w:top w:val="single" w:sz="4" w:space="0" w:color="FFFFFF" w:themeColor="background1"/>
              <w:left w:val="single" w:sz="4" w:space="0" w:color="FFFFFF"/>
              <w:right w:val="single" w:sz="4" w:space="0" w:color="FFFFFF"/>
            </w:tcBorders>
          </w:tcPr>
          <w:p w14:paraId="6153C934" w14:textId="77777777" w:rsidR="00F84809" w:rsidRPr="00F84809" w:rsidRDefault="00F84809" w:rsidP="00F84809">
            <w:pPr>
              <w:ind w:firstLine="0"/>
              <w:rPr>
                <w:rFonts w:ascii="Arial Narrow" w:hAnsi="Arial Narrow"/>
                <w:sz w:val="24"/>
                <w:lang w:val="en"/>
              </w:rPr>
            </w:pPr>
            <w:r w:rsidRPr="00F84809">
              <w:rPr>
                <w:rFonts w:ascii="Arial Narrow" w:hAnsi="Arial Narrow"/>
                <w:sz w:val="24"/>
                <w:lang w:val="en"/>
              </w:rPr>
              <w:t>1357.68</w:t>
            </w:r>
          </w:p>
        </w:tc>
        <w:tc>
          <w:tcPr>
            <w:tcW w:w="1276" w:type="dxa"/>
            <w:tcBorders>
              <w:top w:val="single" w:sz="4" w:space="0" w:color="FFFFFF" w:themeColor="background1"/>
              <w:left w:val="single" w:sz="4" w:space="0" w:color="FFFFFF"/>
              <w:right w:val="single" w:sz="4" w:space="0" w:color="FFFFFF"/>
            </w:tcBorders>
          </w:tcPr>
          <w:p w14:paraId="665AC753" w14:textId="77777777" w:rsidR="00F84809" w:rsidRPr="00F84809" w:rsidRDefault="00F84809" w:rsidP="00F84809">
            <w:pPr>
              <w:ind w:firstLine="0"/>
              <w:rPr>
                <w:rFonts w:ascii="Arial Narrow" w:hAnsi="Arial Narrow"/>
                <w:sz w:val="24"/>
                <w:lang w:val="en"/>
              </w:rPr>
            </w:pPr>
            <w:r w:rsidRPr="00F84809">
              <w:rPr>
                <w:rFonts w:ascii="Arial Narrow" w:hAnsi="Arial Narrow"/>
                <w:sz w:val="24"/>
                <w:lang w:val="en"/>
              </w:rPr>
              <w:t>170.427</w:t>
            </w:r>
          </w:p>
        </w:tc>
        <w:tc>
          <w:tcPr>
            <w:tcW w:w="992" w:type="dxa"/>
            <w:vMerge/>
            <w:tcBorders>
              <w:left w:val="single" w:sz="4" w:space="0" w:color="FFFFFF"/>
              <w:right w:val="single" w:sz="4" w:space="0" w:color="FFFFFF"/>
            </w:tcBorders>
            <w:vAlign w:val="center"/>
          </w:tcPr>
          <w:p w14:paraId="439DA986" w14:textId="77777777" w:rsidR="00F84809" w:rsidRPr="00F84809" w:rsidRDefault="00F84809" w:rsidP="00F84809">
            <w:pPr>
              <w:pBdr>
                <w:top w:val="nil"/>
                <w:left w:val="nil"/>
                <w:bottom w:val="nil"/>
                <w:right w:val="nil"/>
                <w:between w:val="nil"/>
              </w:pBdr>
              <w:ind w:firstLine="0"/>
              <w:rPr>
                <w:rFonts w:ascii="Arial Narrow" w:hAnsi="Arial Narrow"/>
                <w:sz w:val="24"/>
                <w:lang w:val="en"/>
              </w:rPr>
            </w:pPr>
          </w:p>
        </w:tc>
        <w:tc>
          <w:tcPr>
            <w:tcW w:w="1276" w:type="dxa"/>
            <w:vMerge/>
            <w:tcBorders>
              <w:left w:val="single" w:sz="4" w:space="0" w:color="FFFFFF"/>
              <w:right w:val="single" w:sz="4" w:space="0" w:color="FFFFFF"/>
            </w:tcBorders>
            <w:vAlign w:val="center"/>
          </w:tcPr>
          <w:p w14:paraId="127D4283" w14:textId="77777777" w:rsidR="00F84809" w:rsidRPr="00F84809" w:rsidRDefault="00F84809" w:rsidP="00F84809">
            <w:pPr>
              <w:pBdr>
                <w:top w:val="nil"/>
                <w:left w:val="nil"/>
                <w:bottom w:val="nil"/>
                <w:right w:val="nil"/>
                <w:between w:val="nil"/>
              </w:pBdr>
              <w:ind w:firstLine="0"/>
              <w:rPr>
                <w:rFonts w:ascii="Arial Narrow" w:hAnsi="Arial Narrow"/>
                <w:sz w:val="24"/>
                <w:lang w:val="en"/>
              </w:rPr>
            </w:pPr>
          </w:p>
        </w:tc>
      </w:tr>
    </w:tbl>
    <w:p w14:paraId="1A20B87E" w14:textId="77777777" w:rsidR="00F84809" w:rsidRDefault="00F84809" w:rsidP="00323731">
      <w:pPr>
        <w:spacing w:line="240" w:lineRule="auto"/>
        <w:ind w:firstLine="0"/>
        <w:rPr>
          <w:rFonts w:eastAsia="Times New Roman" w:cs="Times New Roman"/>
        </w:rPr>
      </w:pPr>
    </w:p>
    <w:p w14:paraId="1CF214B5" w14:textId="77777777" w:rsidR="00166A23" w:rsidRPr="00166A23" w:rsidRDefault="00166A23" w:rsidP="00166A23">
      <w:pPr>
        <w:spacing w:line="240" w:lineRule="auto"/>
        <w:ind w:firstLine="720"/>
        <w:jc w:val="center"/>
        <w:rPr>
          <w:rFonts w:ascii="Arial Narrow" w:eastAsia="Times New Roman" w:hAnsi="Arial Narrow" w:cs="Times New Roman"/>
          <w:sz w:val="24"/>
          <w:szCs w:val="22"/>
        </w:rPr>
      </w:pPr>
      <w:r w:rsidRPr="00166A23">
        <w:rPr>
          <w:rFonts w:ascii="Arial Narrow" w:eastAsia="Times New Roman" w:hAnsi="Arial Narrow" w:cs="Times New Roman"/>
          <w:sz w:val="24"/>
          <w:szCs w:val="22"/>
        </w:rPr>
        <w:t>Different tests that have been carried out show graphs of increases before and after nutritional counseling in the average patient energy intake of 59.25 kcal (2.23%) in the graph below.</w:t>
      </w:r>
    </w:p>
    <w:p w14:paraId="0E1123F9" w14:textId="28161C18" w:rsidR="00166A23" w:rsidRDefault="00323731" w:rsidP="00166A23">
      <w:pPr>
        <w:spacing w:line="240" w:lineRule="auto"/>
        <w:ind w:firstLine="720"/>
        <w:jc w:val="center"/>
        <w:rPr>
          <w:rFonts w:eastAsia="Times New Roman" w:cs="Times New Roman"/>
        </w:rPr>
      </w:pPr>
      <w:r>
        <w:rPr>
          <w:noProof/>
        </w:rPr>
        <w:lastRenderedPageBreak/>
        <w:drawing>
          <wp:anchor distT="0" distB="0" distL="114300" distR="114300" simplePos="0" relativeHeight="251661312" behindDoc="0" locked="0" layoutInCell="1" allowOverlap="1" wp14:anchorId="4621415A" wp14:editId="71568AC5">
            <wp:simplePos x="0" y="0"/>
            <wp:positionH relativeFrom="column">
              <wp:posOffset>1281568</wp:posOffset>
            </wp:positionH>
            <wp:positionV relativeFrom="paragraph">
              <wp:posOffset>204056</wp:posOffset>
            </wp:positionV>
            <wp:extent cx="3607435" cy="2286000"/>
            <wp:effectExtent l="0" t="0" r="12065" b="0"/>
            <wp:wrapSquare wrapText="bothSides"/>
            <wp:docPr id="12" name="Chart 12">
              <a:extLst xmlns:a="http://schemas.openxmlformats.org/drawingml/2006/main">
                <a:ext uri="{FF2B5EF4-FFF2-40B4-BE49-F238E27FC236}">
                  <a16:creationId xmlns:a16="http://schemas.microsoft.com/office/drawing/2014/main" id="{9B1985AA-DED5-4322-B348-B9263AF3D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29DAE1F" w14:textId="014DFE01" w:rsidR="00166A23" w:rsidRDefault="00166A23" w:rsidP="00166A23">
      <w:pPr>
        <w:tabs>
          <w:tab w:val="left" w:pos="4962"/>
        </w:tabs>
        <w:spacing w:line="240" w:lineRule="auto"/>
        <w:jc w:val="center"/>
        <w:rPr>
          <w:rFonts w:eastAsia="Times New Roman" w:cs="Times New Roman"/>
          <w:color w:val="FF0000"/>
        </w:rPr>
      </w:pPr>
    </w:p>
    <w:p w14:paraId="362DAA9D" w14:textId="77777777" w:rsidR="00166A23" w:rsidRDefault="00166A23" w:rsidP="00166A23">
      <w:pPr>
        <w:spacing w:line="240" w:lineRule="auto"/>
        <w:jc w:val="center"/>
        <w:rPr>
          <w:rFonts w:eastAsia="Times New Roman" w:cs="Times New Roman"/>
        </w:rPr>
      </w:pPr>
    </w:p>
    <w:p w14:paraId="10F70A3A" w14:textId="77777777" w:rsidR="00166A23" w:rsidRDefault="00166A23" w:rsidP="00166A23">
      <w:pPr>
        <w:spacing w:line="240" w:lineRule="auto"/>
        <w:jc w:val="center"/>
        <w:rPr>
          <w:rFonts w:eastAsia="Times New Roman" w:cs="Times New Roman"/>
        </w:rPr>
      </w:pPr>
    </w:p>
    <w:p w14:paraId="70500798" w14:textId="77777777" w:rsidR="00166A23" w:rsidRDefault="00166A23" w:rsidP="00166A23">
      <w:pPr>
        <w:spacing w:line="240" w:lineRule="auto"/>
        <w:jc w:val="center"/>
        <w:rPr>
          <w:rFonts w:eastAsia="Times New Roman" w:cs="Times New Roman"/>
        </w:rPr>
      </w:pPr>
    </w:p>
    <w:p w14:paraId="494038B8" w14:textId="77777777" w:rsidR="00166A23" w:rsidRDefault="00166A23" w:rsidP="00166A23">
      <w:pPr>
        <w:spacing w:line="240" w:lineRule="auto"/>
        <w:jc w:val="center"/>
        <w:rPr>
          <w:rFonts w:eastAsia="Times New Roman" w:cs="Times New Roman"/>
        </w:rPr>
      </w:pPr>
    </w:p>
    <w:p w14:paraId="3FCCD744" w14:textId="77777777" w:rsidR="00166A23" w:rsidRDefault="00166A23" w:rsidP="00166A23">
      <w:pPr>
        <w:spacing w:line="240" w:lineRule="auto"/>
        <w:jc w:val="center"/>
        <w:rPr>
          <w:rFonts w:eastAsia="Times New Roman" w:cs="Times New Roman"/>
        </w:rPr>
      </w:pPr>
    </w:p>
    <w:p w14:paraId="306B1F2D" w14:textId="77777777" w:rsidR="00166A23" w:rsidRDefault="00166A23" w:rsidP="00166A23">
      <w:pPr>
        <w:spacing w:line="240" w:lineRule="auto"/>
        <w:jc w:val="center"/>
        <w:rPr>
          <w:rFonts w:eastAsia="Times New Roman" w:cs="Times New Roman"/>
        </w:rPr>
      </w:pPr>
    </w:p>
    <w:p w14:paraId="1897C22A" w14:textId="77777777" w:rsidR="00166A23" w:rsidRDefault="00166A23" w:rsidP="00166A23">
      <w:pPr>
        <w:spacing w:line="240" w:lineRule="auto"/>
        <w:jc w:val="center"/>
        <w:rPr>
          <w:rFonts w:eastAsia="Times New Roman" w:cs="Times New Roman"/>
        </w:rPr>
      </w:pPr>
    </w:p>
    <w:p w14:paraId="11007D4F" w14:textId="77777777" w:rsidR="00166A23" w:rsidRDefault="00166A23" w:rsidP="00166A23">
      <w:pPr>
        <w:spacing w:line="240" w:lineRule="auto"/>
        <w:jc w:val="center"/>
        <w:rPr>
          <w:rFonts w:eastAsia="Times New Roman" w:cs="Times New Roman"/>
        </w:rPr>
      </w:pPr>
    </w:p>
    <w:p w14:paraId="14955C08" w14:textId="77777777" w:rsidR="00166A23" w:rsidRDefault="00166A23" w:rsidP="00166A23">
      <w:pPr>
        <w:spacing w:line="240" w:lineRule="auto"/>
        <w:ind w:firstLine="0"/>
        <w:rPr>
          <w:rFonts w:eastAsia="Times New Roman" w:cs="Times New Roman"/>
        </w:rPr>
      </w:pPr>
    </w:p>
    <w:p w14:paraId="10B9D412" w14:textId="76C34FA5" w:rsidR="00166A23" w:rsidRDefault="00166A23" w:rsidP="0062242C">
      <w:pPr>
        <w:spacing w:line="240" w:lineRule="auto"/>
        <w:ind w:firstLine="0"/>
        <w:rPr>
          <w:rFonts w:eastAsia="Times New Roman" w:cs="Times New Roman"/>
        </w:rPr>
      </w:pPr>
    </w:p>
    <w:p w14:paraId="3DD368B9" w14:textId="77777777" w:rsidR="0062242C" w:rsidRDefault="0062242C" w:rsidP="0062242C">
      <w:pPr>
        <w:spacing w:line="240" w:lineRule="auto"/>
        <w:ind w:firstLine="0"/>
        <w:rPr>
          <w:rFonts w:eastAsia="Times New Roman" w:cs="Times New Roman"/>
        </w:rPr>
      </w:pPr>
    </w:p>
    <w:p w14:paraId="44097541" w14:textId="21F85B8A" w:rsidR="00166A23" w:rsidRPr="00166A23" w:rsidRDefault="00166A23" w:rsidP="00323731">
      <w:pPr>
        <w:spacing w:line="240" w:lineRule="auto"/>
        <w:ind w:firstLine="142"/>
        <w:jc w:val="center"/>
        <w:rPr>
          <w:rFonts w:ascii="Arial Narrow" w:eastAsia="Times New Roman" w:hAnsi="Arial Narrow" w:cs="Times New Roman"/>
          <w:sz w:val="20"/>
          <w:szCs w:val="18"/>
        </w:rPr>
      </w:pPr>
      <w:r w:rsidRPr="00166A23">
        <w:rPr>
          <w:rFonts w:ascii="Arial Narrow" w:eastAsia="Times New Roman" w:hAnsi="Arial Narrow" w:cs="Times New Roman"/>
          <w:b/>
          <w:bCs/>
          <w:sz w:val="20"/>
          <w:szCs w:val="18"/>
        </w:rPr>
        <w:t>Picture 2.</w:t>
      </w:r>
      <w:r w:rsidRPr="00166A23">
        <w:rPr>
          <w:rFonts w:ascii="Arial Narrow" w:eastAsia="Times New Roman" w:hAnsi="Arial Narrow" w:cs="Times New Roman"/>
          <w:sz w:val="20"/>
          <w:szCs w:val="18"/>
        </w:rPr>
        <w:t xml:space="preserve"> Graph of average energy intake before and after nutritional counseling</w:t>
      </w:r>
    </w:p>
    <w:p w14:paraId="5A027D19" w14:textId="77777777" w:rsidR="00F84809" w:rsidRPr="000F4EE6" w:rsidRDefault="00F84809" w:rsidP="00323731">
      <w:pPr>
        <w:pStyle w:val="NormalWeb"/>
        <w:spacing w:before="0" w:beforeAutospacing="0" w:after="0" w:afterAutospacing="0"/>
        <w:jc w:val="center"/>
        <w:rPr>
          <w:rFonts w:ascii="Arial Narrow" w:hAnsi="Arial Narrow"/>
          <w:b/>
          <w:bCs/>
          <w:sz w:val="20"/>
          <w:szCs w:val="20"/>
        </w:rPr>
      </w:pPr>
    </w:p>
    <w:p w14:paraId="154042AF" w14:textId="2892B558" w:rsidR="004B1F4C" w:rsidRPr="000F4EE6" w:rsidRDefault="00203D4E" w:rsidP="004B1F4C">
      <w:pPr>
        <w:ind w:firstLine="0"/>
        <w:rPr>
          <w:rFonts w:ascii="Arial Narrow" w:hAnsi="Arial Narrow"/>
          <w:b/>
          <w:bCs/>
          <w:sz w:val="24"/>
        </w:rPr>
      </w:pPr>
      <w:r w:rsidRPr="000F4EE6">
        <w:rPr>
          <w:rFonts w:ascii="Arial Narrow" w:hAnsi="Arial Narrow"/>
          <w:b/>
          <w:bCs/>
          <w:sz w:val="24"/>
        </w:rPr>
        <w:t>Analysis of differences in protein intake before and after treatment</w:t>
      </w:r>
    </w:p>
    <w:p w14:paraId="1F43C63D" w14:textId="2F6186E1" w:rsidR="00203D4E" w:rsidRDefault="00203D4E" w:rsidP="00203D4E">
      <w:pPr>
        <w:rPr>
          <w:rFonts w:ascii="Arial Narrow" w:hAnsi="Arial Narrow"/>
          <w:sz w:val="24"/>
        </w:rPr>
      </w:pPr>
      <w:r w:rsidRPr="00203D4E">
        <w:rPr>
          <w:rFonts w:ascii="Arial Narrow" w:hAnsi="Arial Narrow"/>
          <w:sz w:val="24"/>
        </w:rPr>
        <w:t>Based on the results of the paired t test analysis in table 3, it is known that the p value is 0.254 &gt; 0.05, so H0 is accepted and H1 is rejected. So it can be said that there is no significant difference in average protein intake before and after nutritional counseling. So it was concluded that nutritional counseling had no effect on increasing the patient's protein intake</w:t>
      </w:r>
    </w:p>
    <w:p w14:paraId="111CAD90" w14:textId="2AAFF775" w:rsidR="00203D4E" w:rsidRDefault="00203D4E" w:rsidP="00203D4E">
      <w:pPr>
        <w:widowControl w:val="0"/>
        <w:pBdr>
          <w:top w:val="nil"/>
          <w:left w:val="nil"/>
          <w:bottom w:val="nil"/>
          <w:right w:val="nil"/>
          <w:between w:val="nil"/>
        </w:pBdr>
        <w:spacing w:line="240" w:lineRule="auto"/>
        <w:jc w:val="center"/>
        <w:rPr>
          <w:rFonts w:ascii="Arial Narrow" w:eastAsia="Times New Roman" w:hAnsi="Arial Narrow" w:cs="Times New Roman"/>
          <w:color w:val="000000"/>
          <w:sz w:val="20"/>
          <w:szCs w:val="20"/>
        </w:rPr>
      </w:pPr>
      <w:r w:rsidRPr="00203D4E">
        <w:rPr>
          <w:rFonts w:ascii="Arial Narrow" w:eastAsia="Times New Roman" w:hAnsi="Arial Narrow" w:cs="Times New Roman"/>
          <w:b/>
          <w:bCs/>
          <w:color w:val="000000"/>
          <w:sz w:val="20"/>
          <w:szCs w:val="20"/>
        </w:rPr>
        <w:t>Table 3.</w:t>
      </w:r>
      <w:r w:rsidRPr="00203D4E">
        <w:rPr>
          <w:rFonts w:ascii="Arial Narrow" w:eastAsia="Times New Roman" w:hAnsi="Arial Narrow" w:cs="Times New Roman"/>
          <w:color w:val="000000"/>
          <w:sz w:val="20"/>
          <w:szCs w:val="20"/>
        </w:rPr>
        <w:t xml:space="preserve"> Results of Paired T Test Analysis of Protein Intake</w:t>
      </w:r>
    </w:p>
    <w:p w14:paraId="3BB505AB" w14:textId="77777777" w:rsidR="00203D4E" w:rsidRDefault="00203D4E" w:rsidP="00203D4E">
      <w:pPr>
        <w:widowControl w:val="0"/>
        <w:pBdr>
          <w:top w:val="nil"/>
          <w:left w:val="nil"/>
          <w:bottom w:val="nil"/>
          <w:right w:val="nil"/>
          <w:between w:val="nil"/>
        </w:pBdr>
        <w:spacing w:line="240" w:lineRule="auto"/>
        <w:jc w:val="center"/>
        <w:rPr>
          <w:rFonts w:ascii="Arial Narrow" w:eastAsia="Times New Roman" w:hAnsi="Arial Narrow" w:cs="Times New Roman"/>
          <w:color w:val="000000"/>
          <w:sz w:val="20"/>
          <w:szCs w:val="20"/>
        </w:rPr>
      </w:pP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567"/>
        <w:gridCol w:w="992"/>
        <w:gridCol w:w="1276"/>
        <w:gridCol w:w="992"/>
        <w:gridCol w:w="1276"/>
      </w:tblGrid>
      <w:tr w:rsidR="00203D4E" w:rsidRPr="00203D4E" w14:paraId="24A80D36" w14:textId="77777777" w:rsidTr="00203D4E">
        <w:trPr>
          <w:jc w:val="center"/>
        </w:trPr>
        <w:tc>
          <w:tcPr>
            <w:tcW w:w="2689" w:type="dxa"/>
            <w:tcBorders>
              <w:left w:val="single" w:sz="4" w:space="0" w:color="FFFFFF"/>
              <w:bottom w:val="single" w:sz="4" w:space="0" w:color="FFFFFF" w:themeColor="background1"/>
              <w:right w:val="single" w:sz="4" w:space="0" w:color="FFFFFF"/>
            </w:tcBorders>
          </w:tcPr>
          <w:p w14:paraId="716405D6" w14:textId="77777777" w:rsidR="00203D4E" w:rsidRPr="00203D4E" w:rsidRDefault="00203D4E" w:rsidP="00203D4E">
            <w:pPr>
              <w:widowControl w:val="0"/>
              <w:adjustRightInd/>
              <w:snapToGrid/>
              <w:spacing w:line="240" w:lineRule="auto"/>
              <w:ind w:firstLine="0"/>
              <w:jc w:val="center"/>
              <w:rPr>
                <w:rFonts w:ascii="Arial Narrow" w:eastAsia="Times New Roman" w:hAnsi="Arial Narrow" w:cs="Times New Roman"/>
                <w:b/>
                <w:bCs/>
                <w:color w:val="000000"/>
                <w:sz w:val="24"/>
                <w:lang w:val="en" w:eastAsia="en-ID"/>
              </w:rPr>
            </w:pPr>
          </w:p>
        </w:tc>
        <w:tc>
          <w:tcPr>
            <w:tcW w:w="567" w:type="dxa"/>
            <w:tcBorders>
              <w:left w:val="single" w:sz="4" w:space="0" w:color="FFFFFF"/>
              <w:bottom w:val="single" w:sz="4" w:space="0" w:color="FFFFFF" w:themeColor="background1"/>
              <w:right w:val="single" w:sz="4" w:space="0" w:color="FFFFFF"/>
            </w:tcBorders>
          </w:tcPr>
          <w:p w14:paraId="2540DBE7" w14:textId="77777777" w:rsidR="00203D4E" w:rsidRPr="00203D4E" w:rsidRDefault="00203D4E" w:rsidP="00203D4E">
            <w:pPr>
              <w:widowControl w:val="0"/>
              <w:adjustRightInd/>
              <w:snapToGrid/>
              <w:spacing w:line="259" w:lineRule="auto"/>
              <w:ind w:left="60" w:right="60" w:firstLine="0"/>
              <w:jc w:val="center"/>
              <w:rPr>
                <w:rFonts w:ascii="Arial Narrow" w:eastAsia="Times New Roman" w:hAnsi="Arial Narrow" w:cs="Times New Roman"/>
                <w:b/>
                <w:bCs/>
                <w:color w:val="000000"/>
                <w:sz w:val="24"/>
                <w:lang w:val="en" w:eastAsia="en-ID"/>
              </w:rPr>
            </w:pPr>
            <w:r w:rsidRPr="00203D4E">
              <w:rPr>
                <w:rFonts w:ascii="Arial Narrow" w:eastAsia="Times New Roman" w:hAnsi="Arial Narrow" w:cs="Times New Roman"/>
                <w:b/>
                <w:bCs/>
                <w:color w:val="000000"/>
                <w:sz w:val="24"/>
                <w:lang w:val="en" w:eastAsia="en-ID"/>
              </w:rPr>
              <w:t>n</w:t>
            </w:r>
          </w:p>
        </w:tc>
        <w:tc>
          <w:tcPr>
            <w:tcW w:w="992" w:type="dxa"/>
            <w:tcBorders>
              <w:left w:val="single" w:sz="4" w:space="0" w:color="FFFFFF"/>
              <w:bottom w:val="single" w:sz="4" w:space="0" w:color="FFFFFF" w:themeColor="background1"/>
              <w:right w:val="single" w:sz="4" w:space="0" w:color="FFFFFF"/>
            </w:tcBorders>
          </w:tcPr>
          <w:p w14:paraId="4440FBD1" w14:textId="112A290B"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b/>
                <w:bCs/>
                <w:color w:val="000000"/>
                <w:sz w:val="24"/>
                <w:lang w:val="en" w:eastAsia="en-ID"/>
              </w:rPr>
            </w:pPr>
            <w:r w:rsidRPr="00203D4E">
              <w:rPr>
                <w:rFonts w:ascii="Arial Narrow" w:eastAsia="Times New Roman" w:hAnsi="Arial Narrow" w:cs="Times New Roman"/>
                <w:b/>
                <w:bCs/>
                <w:color w:val="000000"/>
                <w:sz w:val="24"/>
                <w:lang w:val="en" w:eastAsia="en-ID"/>
              </w:rPr>
              <w:t>X</w:t>
            </w:r>
          </w:p>
        </w:tc>
        <w:tc>
          <w:tcPr>
            <w:tcW w:w="1276" w:type="dxa"/>
            <w:tcBorders>
              <w:left w:val="single" w:sz="4" w:space="0" w:color="FFFFFF"/>
              <w:bottom w:val="single" w:sz="4" w:space="0" w:color="FFFFFF" w:themeColor="background1"/>
              <w:right w:val="single" w:sz="4" w:space="0" w:color="FFFFFF"/>
            </w:tcBorders>
          </w:tcPr>
          <w:p w14:paraId="0C096509"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b/>
                <w:bCs/>
                <w:color w:val="000000"/>
                <w:sz w:val="24"/>
                <w:lang w:val="en" w:eastAsia="en-ID"/>
              </w:rPr>
            </w:pPr>
            <w:r w:rsidRPr="00203D4E">
              <w:rPr>
                <w:rFonts w:ascii="Arial Narrow" w:eastAsia="Times New Roman" w:hAnsi="Arial Narrow" w:cs="Times New Roman"/>
                <w:b/>
                <w:bCs/>
                <w:color w:val="000000"/>
                <w:sz w:val="24"/>
                <w:lang w:val="en" w:eastAsia="en-ID"/>
              </w:rPr>
              <w:t>SD</w:t>
            </w:r>
          </w:p>
        </w:tc>
        <w:tc>
          <w:tcPr>
            <w:tcW w:w="992" w:type="dxa"/>
            <w:tcBorders>
              <w:left w:val="single" w:sz="4" w:space="0" w:color="FFFFFF"/>
              <w:bottom w:val="single" w:sz="4" w:space="0" w:color="FFFFFF" w:themeColor="background1"/>
              <w:right w:val="single" w:sz="4" w:space="0" w:color="FFFFFF"/>
            </w:tcBorders>
          </w:tcPr>
          <w:p w14:paraId="5F75B128"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b/>
                <w:bCs/>
                <w:color w:val="000000"/>
                <w:sz w:val="24"/>
                <w:lang w:val="en" w:eastAsia="en-ID"/>
              </w:rPr>
            </w:pPr>
            <w:r w:rsidRPr="00203D4E">
              <w:rPr>
                <w:rFonts w:ascii="Arial Narrow" w:eastAsia="Times New Roman" w:hAnsi="Arial Narrow" w:cs="Times New Roman"/>
                <w:b/>
                <w:bCs/>
                <w:color w:val="000000"/>
                <w:sz w:val="24"/>
                <w:lang w:val="en" w:eastAsia="en-ID"/>
              </w:rPr>
              <w:t>t</w:t>
            </w:r>
          </w:p>
        </w:tc>
        <w:tc>
          <w:tcPr>
            <w:tcW w:w="1276" w:type="dxa"/>
            <w:tcBorders>
              <w:left w:val="single" w:sz="4" w:space="0" w:color="FFFFFF"/>
              <w:bottom w:val="single" w:sz="4" w:space="0" w:color="FFFFFF" w:themeColor="background1"/>
              <w:right w:val="single" w:sz="4" w:space="0" w:color="FFFFFF"/>
            </w:tcBorders>
          </w:tcPr>
          <w:p w14:paraId="411A2FC9" w14:textId="77777777" w:rsidR="00203D4E" w:rsidRPr="00203D4E" w:rsidRDefault="00203D4E" w:rsidP="00203D4E">
            <w:pPr>
              <w:widowControl w:val="0"/>
              <w:adjustRightInd/>
              <w:snapToGrid/>
              <w:spacing w:line="259" w:lineRule="auto"/>
              <w:ind w:left="60" w:right="60" w:firstLine="0"/>
              <w:jc w:val="center"/>
              <w:rPr>
                <w:rFonts w:ascii="Arial Narrow" w:eastAsia="Times New Roman" w:hAnsi="Arial Narrow" w:cs="Times New Roman"/>
                <w:b/>
                <w:bCs/>
                <w:color w:val="000000"/>
                <w:sz w:val="24"/>
                <w:lang w:val="en" w:eastAsia="en-ID"/>
              </w:rPr>
            </w:pPr>
            <w:r w:rsidRPr="00203D4E">
              <w:rPr>
                <w:rFonts w:ascii="Arial Narrow" w:eastAsia="Times New Roman" w:hAnsi="Arial Narrow" w:cs="Times New Roman"/>
                <w:b/>
                <w:bCs/>
                <w:i/>
                <w:color w:val="000000"/>
                <w:sz w:val="24"/>
                <w:lang w:val="en" w:eastAsia="en-ID"/>
              </w:rPr>
              <w:t xml:space="preserve">p-value </w:t>
            </w:r>
          </w:p>
        </w:tc>
      </w:tr>
      <w:tr w:rsidR="00203D4E" w:rsidRPr="00203D4E" w14:paraId="287C3312" w14:textId="77777777" w:rsidTr="00203D4E">
        <w:trPr>
          <w:cantSplit/>
          <w:jc w:val="center"/>
        </w:trPr>
        <w:tc>
          <w:tcPr>
            <w:tcW w:w="2689" w:type="dxa"/>
            <w:tcBorders>
              <w:top w:val="single" w:sz="4" w:space="0" w:color="FFFFFF" w:themeColor="background1"/>
              <w:left w:val="single" w:sz="4" w:space="0" w:color="FFFFFF"/>
              <w:bottom w:val="single" w:sz="4" w:space="0" w:color="FFFFFF" w:themeColor="background1"/>
              <w:right w:val="single" w:sz="4" w:space="0" w:color="FFFFFF"/>
            </w:tcBorders>
          </w:tcPr>
          <w:p w14:paraId="5E0F8644"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color w:val="000000"/>
                <w:sz w:val="24"/>
                <w:lang w:val="en" w:eastAsia="en-ID"/>
              </w:rPr>
            </w:pPr>
            <w:r w:rsidRPr="00203D4E">
              <w:rPr>
                <w:rFonts w:ascii="Arial Narrow" w:eastAsia="Times New Roman" w:hAnsi="Arial Narrow" w:cs="Times New Roman"/>
                <w:color w:val="000000"/>
                <w:sz w:val="24"/>
                <w:lang w:val="en" w:eastAsia="en-ID"/>
              </w:rPr>
              <w:t>Protein Intake Before Counseling</w:t>
            </w:r>
          </w:p>
        </w:tc>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149EBAA5"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color w:val="000000"/>
                <w:sz w:val="24"/>
                <w:lang w:val="en" w:eastAsia="en-ID"/>
              </w:rPr>
            </w:pPr>
            <w:r w:rsidRPr="00203D4E">
              <w:rPr>
                <w:rFonts w:ascii="Arial Narrow" w:eastAsia="Times New Roman" w:hAnsi="Arial Narrow" w:cs="Times New Roman"/>
                <w:color w:val="000000"/>
                <w:sz w:val="24"/>
                <w:lang w:val="en" w:eastAsia="en-ID"/>
              </w:rPr>
              <w:t>22</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tcPr>
          <w:p w14:paraId="286AFA8C"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color w:val="000000"/>
                <w:sz w:val="24"/>
                <w:lang w:val="en" w:eastAsia="en-ID"/>
              </w:rPr>
            </w:pPr>
            <w:r w:rsidRPr="00203D4E">
              <w:rPr>
                <w:rFonts w:ascii="Arial Narrow" w:eastAsia="Times New Roman" w:hAnsi="Arial Narrow" w:cs="Times New Roman"/>
                <w:color w:val="000000"/>
                <w:sz w:val="24"/>
                <w:lang w:val="en" w:eastAsia="en-ID"/>
              </w:rPr>
              <w:t>47.05</w:t>
            </w:r>
          </w:p>
        </w:tc>
        <w:tc>
          <w:tcPr>
            <w:tcW w:w="1276" w:type="dxa"/>
            <w:tcBorders>
              <w:top w:val="single" w:sz="4" w:space="0" w:color="FFFFFF" w:themeColor="background1"/>
              <w:left w:val="single" w:sz="4" w:space="0" w:color="FFFFFF"/>
              <w:bottom w:val="single" w:sz="4" w:space="0" w:color="FFFFFF" w:themeColor="background1"/>
              <w:right w:val="single" w:sz="4" w:space="0" w:color="FFFFFF"/>
            </w:tcBorders>
          </w:tcPr>
          <w:p w14:paraId="2B1AA5F3"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color w:val="000000"/>
                <w:sz w:val="24"/>
                <w:lang w:val="en" w:eastAsia="en-ID"/>
              </w:rPr>
            </w:pPr>
            <w:r w:rsidRPr="00203D4E">
              <w:rPr>
                <w:rFonts w:ascii="Arial Narrow" w:eastAsia="Times New Roman" w:hAnsi="Arial Narrow" w:cs="Times New Roman"/>
                <w:sz w:val="22"/>
                <w:szCs w:val="22"/>
                <w:lang w:val="en" w:eastAsia="en-ID"/>
              </w:rPr>
              <w:t>224.489</w:t>
            </w:r>
          </w:p>
        </w:tc>
        <w:tc>
          <w:tcPr>
            <w:tcW w:w="992" w:type="dxa"/>
            <w:vMerge w:val="restart"/>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85D33FE"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sz w:val="22"/>
                <w:szCs w:val="22"/>
                <w:lang w:val="en" w:eastAsia="en-ID"/>
              </w:rPr>
            </w:pPr>
            <w:bookmarkStart w:id="0" w:name="_30j0zll" w:colFirst="0" w:colLast="0"/>
            <w:bookmarkEnd w:id="0"/>
            <w:r w:rsidRPr="00203D4E">
              <w:rPr>
                <w:rFonts w:ascii="Arial Narrow" w:eastAsia="Times New Roman" w:hAnsi="Arial Narrow" w:cs="Times New Roman"/>
                <w:sz w:val="22"/>
                <w:szCs w:val="22"/>
                <w:lang w:val="en" w:eastAsia="en-ID"/>
              </w:rPr>
              <w:t>1.172</w:t>
            </w:r>
          </w:p>
        </w:tc>
        <w:tc>
          <w:tcPr>
            <w:tcW w:w="1276" w:type="dxa"/>
            <w:vMerge w:val="restart"/>
            <w:tcBorders>
              <w:top w:val="single" w:sz="4" w:space="0" w:color="FFFFFF" w:themeColor="background1"/>
              <w:left w:val="single" w:sz="4" w:space="0" w:color="FFFFFF"/>
              <w:right w:val="single" w:sz="4" w:space="0" w:color="FFFFFF"/>
            </w:tcBorders>
            <w:vAlign w:val="center"/>
          </w:tcPr>
          <w:p w14:paraId="6AA07382" w14:textId="77777777" w:rsidR="00203D4E" w:rsidRPr="00203D4E" w:rsidRDefault="00203D4E" w:rsidP="00203D4E">
            <w:pPr>
              <w:widowControl w:val="0"/>
              <w:adjustRightInd/>
              <w:snapToGrid/>
              <w:spacing w:line="259" w:lineRule="auto"/>
              <w:ind w:left="60" w:right="60" w:firstLine="0"/>
              <w:jc w:val="center"/>
              <w:rPr>
                <w:rFonts w:ascii="Arial Narrow" w:eastAsia="Times New Roman" w:hAnsi="Arial Narrow" w:cs="Times New Roman"/>
                <w:sz w:val="22"/>
                <w:szCs w:val="22"/>
                <w:lang w:val="en" w:eastAsia="en-ID"/>
              </w:rPr>
            </w:pPr>
            <w:r w:rsidRPr="00203D4E">
              <w:rPr>
                <w:rFonts w:ascii="Arial Narrow" w:eastAsia="Times New Roman" w:hAnsi="Arial Narrow" w:cs="Times New Roman"/>
                <w:sz w:val="22"/>
                <w:szCs w:val="22"/>
                <w:lang w:val="en" w:eastAsia="en-ID"/>
              </w:rPr>
              <w:t>0.254</w:t>
            </w:r>
          </w:p>
        </w:tc>
      </w:tr>
      <w:tr w:rsidR="00203D4E" w:rsidRPr="00203D4E" w14:paraId="1AA0ECFA" w14:textId="77777777" w:rsidTr="00203D4E">
        <w:trPr>
          <w:cantSplit/>
          <w:jc w:val="center"/>
        </w:trPr>
        <w:tc>
          <w:tcPr>
            <w:tcW w:w="2689" w:type="dxa"/>
            <w:tcBorders>
              <w:top w:val="single" w:sz="4" w:space="0" w:color="FFFFFF" w:themeColor="background1"/>
              <w:left w:val="single" w:sz="4" w:space="0" w:color="FFFFFF"/>
              <w:right w:val="single" w:sz="4" w:space="0" w:color="FFFFFF"/>
            </w:tcBorders>
          </w:tcPr>
          <w:p w14:paraId="3FC00225"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color w:val="000000"/>
                <w:sz w:val="24"/>
                <w:lang w:val="en" w:eastAsia="en-ID"/>
              </w:rPr>
            </w:pPr>
            <w:r w:rsidRPr="00203D4E">
              <w:rPr>
                <w:rFonts w:ascii="Arial Narrow" w:eastAsia="Times New Roman" w:hAnsi="Arial Narrow" w:cs="Times New Roman"/>
                <w:color w:val="000000"/>
                <w:sz w:val="24"/>
                <w:lang w:val="en" w:eastAsia="en-ID"/>
              </w:rPr>
              <w:t>Protein Intake After Counseling</w:t>
            </w:r>
          </w:p>
        </w:tc>
        <w:tc>
          <w:tcPr>
            <w:tcW w:w="567" w:type="dxa"/>
            <w:tcBorders>
              <w:top w:val="single" w:sz="4" w:space="0" w:color="FFFFFF" w:themeColor="background1"/>
              <w:left w:val="single" w:sz="4" w:space="0" w:color="FFFFFF"/>
              <w:right w:val="single" w:sz="4" w:space="0" w:color="FFFFFF"/>
            </w:tcBorders>
          </w:tcPr>
          <w:p w14:paraId="441F1FA8"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color w:val="000000"/>
                <w:sz w:val="24"/>
                <w:lang w:val="en" w:eastAsia="en-ID"/>
              </w:rPr>
            </w:pPr>
            <w:r w:rsidRPr="00203D4E">
              <w:rPr>
                <w:rFonts w:ascii="Arial Narrow" w:eastAsia="Times New Roman" w:hAnsi="Arial Narrow" w:cs="Times New Roman"/>
                <w:color w:val="000000"/>
                <w:sz w:val="24"/>
                <w:lang w:val="en" w:eastAsia="en-ID"/>
              </w:rPr>
              <w:t>22</w:t>
            </w:r>
          </w:p>
        </w:tc>
        <w:tc>
          <w:tcPr>
            <w:tcW w:w="992" w:type="dxa"/>
            <w:tcBorders>
              <w:top w:val="single" w:sz="4" w:space="0" w:color="FFFFFF" w:themeColor="background1"/>
              <w:left w:val="single" w:sz="4" w:space="0" w:color="FFFFFF"/>
              <w:right w:val="single" w:sz="4" w:space="0" w:color="FFFFFF"/>
            </w:tcBorders>
          </w:tcPr>
          <w:p w14:paraId="790E3E2E"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color w:val="000000"/>
                <w:sz w:val="24"/>
                <w:lang w:val="en" w:eastAsia="en-ID"/>
              </w:rPr>
            </w:pPr>
            <w:r w:rsidRPr="00203D4E">
              <w:rPr>
                <w:rFonts w:ascii="Arial Narrow" w:eastAsia="Times New Roman" w:hAnsi="Arial Narrow" w:cs="Times New Roman"/>
                <w:color w:val="000000"/>
                <w:sz w:val="24"/>
                <w:lang w:val="en" w:eastAsia="en-ID"/>
              </w:rPr>
              <w:t>44.45</w:t>
            </w:r>
          </w:p>
        </w:tc>
        <w:tc>
          <w:tcPr>
            <w:tcW w:w="1276" w:type="dxa"/>
            <w:tcBorders>
              <w:top w:val="single" w:sz="4" w:space="0" w:color="FFFFFF" w:themeColor="background1"/>
              <w:left w:val="single" w:sz="4" w:space="0" w:color="FFFFFF"/>
              <w:right w:val="single" w:sz="4" w:space="0" w:color="FFFFFF"/>
            </w:tcBorders>
          </w:tcPr>
          <w:p w14:paraId="327455DC" w14:textId="77777777" w:rsidR="00203D4E" w:rsidRPr="00203D4E" w:rsidRDefault="00203D4E" w:rsidP="00203D4E">
            <w:pPr>
              <w:widowControl w:val="0"/>
              <w:adjustRightInd/>
              <w:snapToGrid/>
              <w:spacing w:line="259" w:lineRule="auto"/>
              <w:ind w:right="60" w:firstLine="0"/>
              <w:jc w:val="center"/>
              <w:rPr>
                <w:rFonts w:ascii="Arial Narrow" w:eastAsia="Times New Roman" w:hAnsi="Arial Narrow" w:cs="Times New Roman"/>
                <w:color w:val="000000"/>
                <w:sz w:val="24"/>
                <w:lang w:val="en" w:eastAsia="en-ID"/>
              </w:rPr>
            </w:pPr>
            <w:r w:rsidRPr="00203D4E">
              <w:rPr>
                <w:rFonts w:ascii="Arial Narrow" w:eastAsia="Times New Roman" w:hAnsi="Arial Narrow" w:cs="Times New Roman"/>
                <w:sz w:val="22"/>
                <w:szCs w:val="22"/>
                <w:lang w:val="en" w:eastAsia="en-ID"/>
              </w:rPr>
              <w:t>170.427</w:t>
            </w:r>
          </w:p>
        </w:tc>
        <w:tc>
          <w:tcPr>
            <w:tcW w:w="992" w:type="dxa"/>
            <w:vMerge/>
            <w:tcBorders>
              <w:top w:val="single" w:sz="4" w:space="0" w:color="FFFFFF" w:themeColor="background1"/>
              <w:left w:val="single" w:sz="4" w:space="0" w:color="FFFFFF"/>
              <w:right w:val="single" w:sz="4" w:space="0" w:color="FFFFFF"/>
            </w:tcBorders>
            <w:vAlign w:val="center"/>
          </w:tcPr>
          <w:p w14:paraId="340EA92C" w14:textId="77777777" w:rsidR="00203D4E" w:rsidRPr="00203D4E" w:rsidRDefault="00203D4E" w:rsidP="00203D4E">
            <w:pPr>
              <w:widowControl w:val="0"/>
              <w:pBdr>
                <w:top w:val="nil"/>
                <w:left w:val="nil"/>
                <w:bottom w:val="nil"/>
                <w:right w:val="nil"/>
                <w:between w:val="nil"/>
              </w:pBdr>
              <w:adjustRightInd/>
              <w:snapToGrid/>
              <w:spacing w:line="276" w:lineRule="auto"/>
              <w:ind w:firstLine="0"/>
              <w:jc w:val="left"/>
              <w:rPr>
                <w:rFonts w:ascii="Arial Narrow" w:eastAsia="Times New Roman" w:hAnsi="Arial Narrow" w:cs="Times New Roman"/>
                <w:color w:val="000000"/>
                <w:sz w:val="24"/>
                <w:lang w:val="en" w:eastAsia="en-ID"/>
              </w:rPr>
            </w:pPr>
          </w:p>
        </w:tc>
        <w:tc>
          <w:tcPr>
            <w:tcW w:w="1276" w:type="dxa"/>
            <w:vMerge/>
            <w:tcBorders>
              <w:left w:val="single" w:sz="4" w:space="0" w:color="FFFFFF"/>
              <w:right w:val="single" w:sz="4" w:space="0" w:color="FFFFFF"/>
            </w:tcBorders>
            <w:vAlign w:val="center"/>
          </w:tcPr>
          <w:p w14:paraId="317CC511" w14:textId="77777777" w:rsidR="00203D4E" w:rsidRPr="00203D4E" w:rsidRDefault="00203D4E" w:rsidP="00203D4E">
            <w:pPr>
              <w:widowControl w:val="0"/>
              <w:pBdr>
                <w:top w:val="nil"/>
                <w:left w:val="nil"/>
                <w:bottom w:val="nil"/>
                <w:right w:val="nil"/>
                <w:between w:val="nil"/>
              </w:pBdr>
              <w:adjustRightInd/>
              <w:snapToGrid/>
              <w:spacing w:line="276" w:lineRule="auto"/>
              <w:ind w:firstLine="0"/>
              <w:jc w:val="left"/>
              <w:rPr>
                <w:rFonts w:ascii="Arial Narrow" w:eastAsia="Times New Roman" w:hAnsi="Arial Narrow" w:cs="Times New Roman"/>
                <w:color w:val="000000"/>
                <w:sz w:val="24"/>
                <w:lang w:val="en" w:eastAsia="en-ID"/>
              </w:rPr>
            </w:pPr>
          </w:p>
        </w:tc>
      </w:tr>
    </w:tbl>
    <w:p w14:paraId="143B297C" w14:textId="77777777" w:rsidR="00203D4E" w:rsidRPr="00203D4E" w:rsidRDefault="00203D4E" w:rsidP="0062242C">
      <w:pPr>
        <w:spacing w:line="240" w:lineRule="auto"/>
        <w:ind w:firstLine="0"/>
        <w:rPr>
          <w:rFonts w:eastAsia="Times New Roman" w:cs="Times New Roman"/>
          <w:sz w:val="24"/>
          <w:szCs w:val="22"/>
        </w:rPr>
      </w:pPr>
    </w:p>
    <w:p w14:paraId="4644716C" w14:textId="3F285749" w:rsidR="00203D4E" w:rsidRDefault="00203D4E" w:rsidP="004B1F4C">
      <w:pPr>
        <w:ind w:firstLine="0"/>
        <w:rPr>
          <w:rFonts w:ascii="Arial Narrow" w:hAnsi="Arial Narrow"/>
          <w:sz w:val="24"/>
        </w:rPr>
      </w:pPr>
      <w:r w:rsidRPr="00203D4E">
        <w:rPr>
          <w:rFonts w:ascii="Arial Narrow" w:hAnsi="Arial Narrow"/>
          <w:sz w:val="24"/>
        </w:rPr>
        <w:t>There was an increase in the average protein intake before and after nutritional counseling for patients by 2.69 grams (5.92%)</w:t>
      </w:r>
      <w:r w:rsidR="001034D0">
        <w:rPr>
          <w:rFonts w:ascii="Arial Narrow" w:hAnsi="Arial Narrow"/>
          <w:sz w:val="24"/>
        </w:rPr>
        <w:t>.</w:t>
      </w:r>
    </w:p>
    <w:p w14:paraId="48604E73" w14:textId="09F17DC1" w:rsidR="00203D4E" w:rsidRDefault="000F4EE6" w:rsidP="004B1F4C">
      <w:pPr>
        <w:ind w:firstLine="0"/>
        <w:rPr>
          <w:rFonts w:ascii="Arial Narrow" w:hAnsi="Arial Narrow"/>
          <w:sz w:val="24"/>
        </w:rPr>
      </w:pPr>
      <w:r>
        <w:rPr>
          <w:noProof/>
        </w:rPr>
        <w:drawing>
          <wp:anchor distT="0" distB="0" distL="114300" distR="114300" simplePos="0" relativeHeight="251663360" behindDoc="0" locked="0" layoutInCell="1" allowOverlap="1" wp14:anchorId="0DF865E2" wp14:editId="190DF7FC">
            <wp:simplePos x="0" y="0"/>
            <wp:positionH relativeFrom="margin">
              <wp:align>center</wp:align>
            </wp:positionH>
            <wp:positionV relativeFrom="margin">
              <wp:posOffset>6230289</wp:posOffset>
            </wp:positionV>
            <wp:extent cx="3438525" cy="2116455"/>
            <wp:effectExtent l="0" t="0" r="9525" b="17145"/>
            <wp:wrapSquare wrapText="bothSides"/>
            <wp:docPr id="13" name="Chart 13">
              <a:extLst xmlns:a="http://schemas.openxmlformats.org/drawingml/2006/main">
                <a:ext uri="{FF2B5EF4-FFF2-40B4-BE49-F238E27FC236}">
                  <a16:creationId xmlns:a16="http://schemas.microsoft.com/office/drawing/2014/main" id="{162C197E-FD89-4989-8E6E-C1CC34ACF8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D0CCAEF" w14:textId="6D5FA95E" w:rsidR="00203D4E" w:rsidRDefault="00203D4E" w:rsidP="004B1F4C">
      <w:pPr>
        <w:ind w:firstLine="0"/>
        <w:rPr>
          <w:rFonts w:ascii="Arial Narrow" w:hAnsi="Arial Narrow"/>
          <w:sz w:val="24"/>
        </w:rPr>
      </w:pPr>
    </w:p>
    <w:p w14:paraId="160123B3" w14:textId="7727C1B4" w:rsidR="00203D4E" w:rsidRDefault="00203D4E" w:rsidP="004B1F4C">
      <w:pPr>
        <w:ind w:firstLine="0"/>
        <w:rPr>
          <w:rFonts w:ascii="Arial Narrow" w:hAnsi="Arial Narrow"/>
          <w:sz w:val="24"/>
        </w:rPr>
      </w:pPr>
    </w:p>
    <w:p w14:paraId="11604C6F" w14:textId="5D36A460" w:rsidR="00203D4E" w:rsidRDefault="00203D4E" w:rsidP="004B1F4C">
      <w:pPr>
        <w:ind w:firstLine="0"/>
        <w:rPr>
          <w:rFonts w:ascii="Arial Narrow" w:hAnsi="Arial Narrow"/>
          <w:sz w:val="24"/>
        </w:rPr>
      </w:pPr>
    </w:p>
    <w:p w14:paraId="4284BBFC" w14:textId="391644B9" w:rsidR="00203D4E" w:rsidRDefault="00203D4E" w:rsidP="004B1F4C">
      <w:pPr>
        <w:ind w:firstLine="0"/>
        <w:rPr>
          <w:rFonts w:ascii="Arial Narrow" w:hAnsi="Arial Narrow"/>
          <w:sz w:val="24"/>
        </w:rPr>
      </w:pPr>
    </w:p>
    <w:p w14:paraId="2657343E" w14:textId="0833E63C" w:rsidR="000F4EE6" w:rsidRDefault="000F4EE6" w:rsidP="004B1F4C">
      <w:pPr>
        <w:ind w:firstLine="0"/>
        <w:rPr>
          <w:rFonts w:ascii="Arial Narrow" w:hAnsi="Arial Narrow"/>
          <w:sz w:val="24"/>
        </w:rPr>
      </w:pPr>
    </w:p>
    <w:p w14:paraId="4A1442CB" w14:textId="06534C07" w:rsidR="000F4EE6" w:rsidRDefault="000F4EE6" w:rsidP="004B1F4C">
      <w:pPr>
        <w:ind w:firstLine="0"/>
        <w:rPr>
          <w:rFonts w:ascii="Arial Narrow" w:hAnsi="Arial Narrow"/>
          <w:sz w:val="24"/>
        </w:rPr>
      </w:pPr>
    </w:p>
    <w:p w14:paraId="449859B2" w14:textId="77777777" w:rsidR="000F4EE6" w:rsidRDefault="000F4EE6" w:rsidP="004B1F4C">
      <w:pPr>
        <w:ind w:firstLine="0"/>
        <w:rPr>
          <w:rFonts w:ascii="Arial Narrow" w:hAnsi="Arial Narrow"/>
          <w:sz w:val="24"/>
        </w:rPr>
      </w:pPr>
    </w:p>
    <w:p w14:paraId="3F0BE4C4" w14:textId="4243E7E5" w:rsidR="00203D4E" w:rsidRDefault="00203D4E" w:rsidP="004B1F4C">
      <w:pPr>
        <w:ind w:firstLine="0"/>
        <w:rPr>
          <w:rFonts w:ascii="Arial Narrow" w:hAnsi="Arial Narrow"/>
          <w:sz w:val="24"/>
        </w:rPr>
      </w:pPr>
    </w:p>
    <w:p w14:paraId="3BD6B1CA" w14:textId="23B5E180" w:rsidR="0062242C" w:rsidRPr="000F4EE6" w:rsidRDefault="0062242C" w:rsidP="000F4EE6">
      <w:pPr>
        <w:spacing w:line="240" w:lineRule="auto"/>
        <w:ind w:firstLine="0"/>
        <w:jc w:val="center"/>
        <w:rPr>
          <w:rFonts w:eastAsia="Times New Roman" w:cs="Times New Roman"/>
          <w:sz w:val="20"/>
          <w:szCs w:val="18"/>
        </w:rPr>
      </w:pPr>
      <w:r w:rsidRPr="0062242C">
        <w:rPr>
          <w:rFonts w:eastAsia="Times New Roman" w:cs="Times New Roman"/>
          <w:b/>
          <w:bCs/>
          <w:sz w:val="20"/>
          <w:szCs w:val="18"/>
        </w:rPr>
        <w:t>Picture 3</w:t>
      </w:r>
      <w:r w:rsidRPr="0062242C">
        <w:rPr>
          <w:rFonts w:eastAsia="Times New Roman" w:cs="Times New Roman"/>
          <w:sz w:val="20"/>
          <w:szCs w:val="18"/>
        </w:rPr>
        <w:t>. Graph of average protein intake before and after nutritional counseling</w:t>
      </w:r>
    </w:p>
    <w:p w14:paraId="5D4B00D3" w14:textId="3C6A83C6" w:rsidR="004B1F4C" w:rsidRPr="00EC49A7" w:rsidRDefault="004B1F4C" w:rsidP="004B1F4C">
      <w:pPr>
        <w:ind w:firstLine="0"/>
        <w:rPr>
          <w:rFonts w:ascii="Arial Narrow" w:hAnsi="Arial Narrow"/>
          <w:b/>
          <w:bCs/>
        </w:rPr>
      </w:pPr>
      <w:r w:rsidRPr="00EC49A7">
        <w:rPr>
          <w:rFonts w:ascii="Arial Narrow" w:hAnsi="Arial Narrow"/>
          <w:b/>
          <w:bCs/>
        </w:rPr>
        <w:lastRenderedPageBreak/>
        <w:t>DISCUSSION</w:t>
      </w:r>
      <w:r>
        <w:rPr>
          <w:rFonts w:ascii="Arial Narrow" w:hAnsi="Arial Narrow"/>
          <w:b/>
          <w:bCs/>
        </w:rPr>
        <w:t xml:space="preserve"> </w:t>
      </w:r>
    </w:p>
    <w:p w14:paraId="4457FEDB" w14:textId="19F6C0E0" w:rsidR="00FE1EDA" w:rsidRPr="00FE1EDA" w:rsidRDefault="00FE1EDA" w:rsidP="00FE1EDA">
      <w:pPr>
        <w:ind w:firstLine="720"/>
        <w:rPr>
          <w:rFonts w:ascii="Arial Narrow" w:hAnsi="Arial Narrow"/>
          <w:sz w:val="24"/>
        </w:rPr>
      </w:pPr>
      <w:r w:rsidRPr="00FE1EDA">
        <w:rPr>
          <w:rFonts w:ascii="Arial Narrow" w:hAnsi="Arial Narrow"/>
          <w:sz w:val="24"/>
        </w:rPr>
        <w:t>Based on the research results, the characteristics of the sample in this study are represented by age, gender, education, employment and nutritional status. The first characteristic is age, where the majority are in the 50-59 year age group, namely 63.63%. The lowest age in the sample was 41 years and the highest was 60 years. This is in line with the Indonesian Renal Registry 2016 (IRR) that the majority of hemodialysis patients are in the 45-64 year age group. Apart from that, research (Nasution et al., 2020) concluded that age ≥ 44 years is the most common determinant of CKD patients in Indonesia.</w:t>
      </w:r>
    </w:p>
    <w:p w14:paraId="7ED8FBCF" w14:textId="4149E9C1" w:rsidR="00FE1EDA" w:rsidRPr="00FE1EDA" w:rsidRDefault="00FE1EDA" w:rsidP="00FE1EDA">
      <w:pPr>
        <w:ind w:firstLine="720"/>
        <w:rPr>
          <w:rFonts w:ascii="Arial Narrow" w:hAnsi="Arial Narrow"/>
          <w:sz w:val="24"/>
        </w:rPr>
      </w:pPr>
      <w:r w:rsidRPr="00FE1EDA">
        <w:rPr>
          <w:rFonts w:ascii="Arial Narrow" w:hAnsi="Arial Narrow"/>
          <w:sz w:val="24"/>
        </w:rPr>
        <w:t>Characteristics according to gender in this study were that the majority of the sample was male, namely 63.63%. Men have a greater risk of experiencing CKD. Data on CKD in Indonesia (IRR) and in Australia show that the risk of CKD in men is greater than in women. The number of male patients each year is greater than female. This is due to the influence of differences in reproductive hormones; lifestyle such as consumption of protein, salt, cigarettes and alcohol consumption in men. Sample characteristics based on nutritional status showed that 9 people (41%) were included in the very thin category.</w:t>
      </w:r>
    </w:p>
    <w:p w14:paraId="654135C0" w14:textId="77777777" w:rsidR="00FE1EDA" w:rsidRPr="00FE1EDA" w:rsidRDefault="00FE1EDA" w:rsidP="00FE1EDA">
      <w:pPr>
        <w:ind w:firstLine="720"/>
        <w:rPr>
          <w:rFonts w:ascii="Arial Narrow" w:hAnsi="Arial Narrow"/>
          <w:sz w:val="24"/>
        </w:rPr>
      </w:pPr>
      <w:r w:rsidRPr="00FE1EDA">
        <w:rPr>
          <w:rFonts w:ascii="Arial Narrow" w:hAnsi="Arial Narrow"/>
          <w:sz w:val="24"/>
        </w:rPr>
        <w:t>The results of this study support the hypothesis put forward by researchers that providing nutritional counseling is effective in increasing patients' nutritional knowledge. Providing repeated counseling can increase patient knowledge because the information obtained is described as input, where the counselor provides information that is more focused on the patient's nutritional problems. The media used in counseling is also a factor in increasing patient knowledge in the form of leaflets and food models.</w:t>
      </w:r>
    </w:p>
    <w:p w14:paraId="11B7E2D7" w14:textId="77777777" w:rsidR="00FE1EDA" w:rsidRPr="00FE1EDA" w:rsidRDefault="00FE1EDA" w:rsidP="00FE1EDA">
      <w:pPr>
        <w:ind w:firstLine="720"/>
        <w:rPr>
          <w:rFonts w:ascii="Arial Narrow" w:hAnsi="Arial Narrow"/>
          <w:sz w:val="24"/>
        </w:rPr>
      </w:pPr>
      <w:r w:rsidRPr="00FE1EDA">
        <w:rPr>
          <w:rFonts w:ascii="Arial Narrow" w:hAnsi="Arial Narrow"/>
          <w:sz w:val="24"/>
        </w:rPr>
        <w:t>Of the 22 samples, there were 16 patients (73%) who were included in the category of low energy intake after providing nutritional counseling so it can be concluded that nutritional counseling was not effective in increasing the energy intake of CKD patients undergoing HD, while as many as 17 patients (77%) were included in the category Protein intake is less after providing nutritional counseling so it can be concluded that nutritional counseling is not effective in increasing protein intake in CKD patients undergoing HD.</w:t>
      </w:r>
    </w:p>
    <w:p w14:paraId="56860EA5" w14:textId="77777777" w:rsidR="00FE1EDA" w:rsidRPr="00FE1EDA" w:rsidRDefault="00FE1EDA" w:rsidP="00FE1EDA">
      <w:pPr>
        <w:ind w:firstLine="0"/>
        <w:rPr>
          <w:rFonts w:ascii="Arial Narrow" w:hAnsi="Arial Narrow"/>
          <w:sz w:val="24"/>
        </w:rPr>
      </w:pPr>
      <w:r w:rsidRPr="00FE1EDA">
        <w:rPr>
          <w:rFonts w:ascii="Arial Narrow" w:hAnsi="Arial Narrow"/>
          <w:sz w:val="24"/>
        </w:rPr>
        <w:t>Counseling cannot increase the patient's food intake because the patient's average energy and protein intake is inadequate. There are many influencing factors such as stress, lack of family support in preparing food, gastrointestinal disorders such as nausea and vomiting, misperceptions about the diet provided, non-compliance with the diet as recommended and the patient's behavior or habits in consuming small amounts of food.</w:t>
      </w:r>
    </w:p>
    <w:p w14:paraId="6FECC726" w14:textId="77777777" w:rsidR="00FE1EDA" w:rsidRPr="00FE1EDA" w:rsidRDefault="00FE1EDA" w:rsidP="00FE1EDA">
      <w:pPr>
        <w:ind w:firstLine="720"/>
        <w:rPr>
          <w:rFonts w:ascii="Arial Narrow" w:hAnsi="Arial Narrow"/>
          <w:sz w:val="24"/>
        </w:rPr>
      </w:pPr>
      <w:r w:rsidRPr="00FE1EDA">
        <w:rPr>
          <w:rFonts w:ascii="Arial Narrow" w:hAnsi="Arial Narrow"/>
          <w:sz w:val="24"/>
        </w:rPr>
        <w:t xml:space="preserve">From the results of 1x24 hour recall interviews conducted before and after nutritional counseling, most patients consumed 1 scoop of rice at every meal, some even consumed only 1-2 tablespoons at every meal. Sources of carbohydrates, both complex and simple carbohydrates, are various sources of </w:t>
      </w:r>
      <w:r w:rsidRPr="00FE1EDA">
        <w:rPr>
          <w:rFonts w:ascii="Arial Narrow" w:hAnsi="Arial Narrow"/>
          <w:sz w:val="24"/>
        </w:rPr>
        <w:lastRenderedPageBreak/>
        <w:t>energy consumed. The types of complex carbohydrates that patients often consume include corn, cassava, potatoes and brown rice. Simple carbohydrates that are often consumed include sweet tea, candy, biscuits, wafers and honey.</w:t>
      </w:r>
    </w:p>
    <w:p w14:paraId="69A0FCA1" w14:textId="77777777" w:rsidR="00FE1EDA" w:rsidRPr="00FE1EDA" w:rsidRDefault="00FE1EDA" w:rsidP="00FE1EDA">
      <w:pPr>
        <w:ind w:firstLine="0"/>
        <w:rPr>
          <w:rFonts w:ascii="Arial Narrow" w:hAnsi="Arial Narrow"/>
          <w:sz w:val="24"/>
        </w:rPr>
      </w:pPr>
      <w:r w:rsidRPr="00FE1EDA">
        <w:rPr>
          <w:rFonts w:ascii="Arial Narrow" w:hAnsi="Arial Narrow"/>
          <w:sz w:val="24"/>
        </w:rPr>
        <w:t>The protein sources that patients often consume are mostly proteins with low biological value (derived from plants), such as tofu and tempeh. Chicken and fish are not consumed every day. One of the 22 samples was a vegetarian who only consumed vegetable side dishes every day.</w:t>
      </w:r>
    </w:p>
    <w:p w14:paraId="2768AC9C" w14:textId="77777777" w:rsidR="004B1F4C" w:rsidRPr="00EC49A7" w:rsidRDefault="004B1F4C" w:rsidP="004B1F4C">
      <w:pPr>
        <w:ind w:firstLine="0"/>
        <w:rPr>
          <w:rFonts w:ascii="Arial Narrow" w:hAnsi="Arial Narrow"/>
          <w:b/>
          <w:bCs/>
        </w:rPr>
      </w:pPr>
      <w:r w:rsidRPr="00EC49A7">
        <w:rPr>
          <w:rFonts w:ascii="Arial Narrow" w:hAnsi="Arial Narrow"/>
          <w:b/>
          <w:bCs/>
        </w:rPr>
        <w:t>CONCLUSION</w:t>
      </w:r>
      <w:r>
        <w:rPr>
          <w:rFonts w:ascii="Arial Narrow" w:hAnsi="Arial Narrow"/>
          <w:b/>
          <w:bCs/>
        </w:rPr>
        <w:t>(S)</w:t>
      </w:r>
    </w:p>
    <w:p w14:paraId="70A47024" w14:textId="70DD20AF" w:rsidR="0062242C" w:rsidRDefault="000B6926" w:rsidP="000256C3">
      <w:pPr>
        <w:pStyle w:val="HTMLPreformatted"/>
        <w:spacing w:line="360" w:lineRule="auto"/>
        <w:jc w:val="both"/>
        <w:rPr>
          <w:rFonts w:ascii="Arial Narrow" w:hAnsi="Arial Narrow" w:cs="Times New Roman"/>
          <w:sz w:val="24"/>
          <w:szCs w:val="24"/>
          <w:shd w:val="clear" w:color="auto" w:fill="FFFFFF"/>
          <w:lang w:eastAsia="ru-RU"/>
        </w:rPr>
      </w:pPr>
      <w:r w:rsidRPr="000B6926">
        <w:rPr>
          <w:rFonts w:ascii="Arial Narrow" w:hAnsi="Arial Narrow"/>
          <w:sz w:val="24"/>
          <w:szCs w:val="24"/>
          <w:lang w:val="en"/>
        </w:rPr>
        <w:t>The results of the study showed that there were differences in the level of knowledge, energy intake and protein intake before and after providing nutritional counseling to Chronic Kidney Failure patients</w:t>
      </w:r>
      <w:r w:rsidRPr="000256C3">
        <w:rPr>
          <w:rFonts w:ascii="Arial Narrow" w:hAnsi="Arial Narrow"/>
          <w:sz w:val="24"/>
          <w:szCs w:val="24"/>
          <w:lang w:val="en"/>
        </w:rPr>
        <w:t xml:space="preserve">. </w:t>
      </w:r>
      <w:r w:rsidRPr="000256C3">
        <w:rPr>
          <w:rStyle w:val="y2iqfc"/>
          <w:rFonts w:ascii="Arial Narrow" w:hAnsi="Arial Narrow"/>
          <w:sz w:val="24"/>
          <w:szCs w:val="24"/>
          <w:lang w:val="en"/>
        </w:rPr>
        <w:t>The patient's level of knowledge, energy and protein intake increased after being given nutritional counselin</w:t>
      </w:r>
      <w:r w:rsidR="000256C3" w:rsidRPr="000256C3">
        <w:rPr>
          <w:rStyle w:val="y2iqfc"/>
          <w:rFonts w:ascii="Arial Narrow" w:hAnsi="Arial Narrow"/>
          <w:sz w:val="24"/>
          <w:szCs w:val="24"/>
          <w:lang w:val="en"/>
        </w:rPr>
        <w:t>g</w:t>
      </w:r>
      <w:r w:rsidRPr="000256C3">
        <w:rPr>
          <w:rStyle w:val="y2iqfc"/>
          <w:rFonts w:ascii="Arial Narrow" w:hAnsi="Arial Narrow"/>
          <w:sz w:val="24"/>
          <w:szCs w:val="24"/>
          <w:lang w:val="en"/>
        </w:rPr>
        <w:t xml:space="preserve">.  </w:t>
      </w:r>
      <w:r w:rsidRPr="000256C3">
        <w:rPr>
          <w:rFonts w:ascii="Arial Narrow" w:hAnsi="Arial Narrow" w:cs="Times New Roman"/>
          <w:sz w:val="24"/>
          <w:szCs w:val="24"/>
          <w:shd w:val="clear" w:color="auto" w:fill="FFFFFF"/>
          <w:lang w:eastAsia="ru-RU"/>
        </w:rPr>
        <w:t>Nutri</w:t>
      </w:r>
      <w:r w:rsidR="00FE1EDA" w:rsidRPr="000256C3">
        <w:rPr>
          <w:rFonts w:ascii="Arial Narrow" w:hAnsi="Arial Narrow" w:cs="Times New Roman"/>
          <w:sz w:val="24"/>
          <w:szCs w:val="24"/>
          <w:shd w:val="clear" w:color="auto" w:fill="FFFFFF"/>
          <w:lang w:eastAsia="ru-RU"/>
        </w:rPr>
        <w:t xml:space="preserve">tional counseling is effective in increasing nutritional knowledge in chronic kidney failure patients with hemodialysis therapy at RSUP Prof. Dr. I.G.N.G. Ngoerah. </w:t>
      </w:r>
      <w:r w:rsidR="000256C3" w:rsidRPr="000256C3">
        <w:rPr>
          <w:rStyle w:val="y2iqfc"/>
          <w:rFonts w:ascii="Arial Narrow" w:hAnsi="Arial Narrow"/>
          <w:sz w:val="24"/>
          <w:szCs w:val="24"/>
          <w:lang w:val="en"/>
        </w:rPr>
        <w:t xml:space="preserve">Regarding energy and protein intake, although energy and protein intake increased after nutritional counseling, nutritional counseling was not effective in increasing energy and protein intake. </w:t>
      </w:r>
      <w:r w:rsidR="00FE1EDA" w:rsidRPr="000256C3">
        <w:rPr>
          <w:rFonts w:ascii="Arial Narrow" w:hAnsi="Arial Narrow" w:cs="Times New Roman"/>
          <w:sz w:val="24"/>
          <w:szCs w:val="24"/>
          <w:shd w:val="clear" w:color="auto" w:fill="FFFFFF"/>
          <w:lang w:eastAsia="ru-RU"/>
        </w:rPr>
        <w:t>. It is hoped that sufferers of chronic kidney disease can maintain positive behavior and increase self-awareness to adhere to the recommended diet. Apart from that, chronic kidney failure patients should think more critically and seek information about the recommended diet and the dangers of not adhering to the diet from health workers.</w:t>
      </w:r>
    </w:p>
    <w:p w14:paraId="6E3BD953" w14:textId="77777777" w:rsidR="000256C3" w:rsidRPr="000256C3" w:rsidRDefault="000256C3" w:rsidP="000256C3">
      <w:pPr>
        <w:pStyle w:val="HTMLPreformatted"/>
        <w:spacing w:line="360" w:lineRule="auto"/>
        <w:jc w:val="both"/>
        <w:rPr>
          <w:rFonts w:ascii="Arial Narrow" w:hAnsi="Arial Narrow" w:cs="Times New Roman"/>
          <w:sz w:val="24"/>
          <w:szCs w:val="24"/>
          <w:shd w:val="clear" w:color="auto" w:fill="FFFFFF"/>
          <w:lang w:eastAsia="ru-RU"/>
        </w:rPr>
      </w:pPr>
    </w:p>
    <w:p w14:paraId="6D815DCC" w14:textId="44F7C745" w:rsidR="004B1F4C" w:rsidRPr="00323731" w:rsidRDefault="004B1F4C" w:rsidP="0062242C">
      <w:pPr>
        <w:ind w:firstLine="0"/>
        <w:rPr>
          <w:rFonts w:ascii="Arial Narrow" w:eastAsia="Times New Roman" w:hAnsi="Arial Narrow" w:cs="Times New Roman"/>
          <w:b/>
          <w:bCs/>
          <w:szCs w:val="28"/>
          <w:shd w:val="clear" w:color="auto" w:fill="FFFFFF"/>
          <w:lang w:eastAsia="ru-RU"/>
        </w:rPr>
      </w:pPr>
      <w:r w:rsidRPr="00323731">
        <w:rPr>
          <w:rFonts w:ascii="Arial Narrow" w:eastAsia="Times New Roman" w:hAnsi="Arial Narrow" w:cs="Times New Roman"/>
          <w:b/>
          <w:bCs/>
          <w:szCs w:val="28"/>
          <w:shd w:val="clear" w:color="auto" w:fill="FFFFFF"/>
          <w:lang w:eastAsia="ru-RU"/>
        </w:rPr>
        <w:t>Conflict of Interest</w:t>
      </w:r>
    </w:p>
    <w:p w14:paraId="4CFFA9FC" w14:textId="3217B70F" w:rsidR="004B1F4C" w:rsidRPr="00323731" w:rsidRDefault="00323731" w:rsidP="00323731">
      <w:pPr>
        <w:rPr>
          <w:rFonts w:ascii="Arial Narrow" w:eastAsia="Times New Roman" w:hAnsi="Arial Narrow" w:cs="Times New Roman"/>
          <w:sz w:val="24"/>
          <w:shd w:val="clear" w:color="auto" w:fill="FFFFFF"/>
          <w:lang w:eastAsia="ru-RU"/>
        </w:rPr>
      </w:pPr>
      <w:r w:rsidRPr="00323731">
        <w:rPr>
          <w:rFonts w:ascii="Arial Narrow" w:eastAsia="Times New Roman" w:hAnsi="Arial Narrow" w:cs="Times New Roman"/>
          <w:sz w:val="24"/>
          <w:shd w:val="clear" w:color="auto" w:fill="FFFFFF"/>
          <w:lang w:eastAsia="ru-RU"/>
        </w:rPr>
        <w:t>We all authors declare that there is no conflict of interest from this research activity</w:t>
      </w:r>
    </w:p>
    <w:p w14:paraId="072901B7" w14:textId="77777777" w:rsidR="004B1F4C" w:rsidRPr="00323731" w:rsidRDefault="004B1F4C" w:rsidP="004B1F4C">
      <w:pPr>
        <w:ind w:firstLine="0"/>
        <w:rPr>
          <w:rFonts w:ascii="Arial Narrow" w:eastAsia="Times New Roman" w:hAnsi="Arial Narrow" w:cs="Times New Roman"/>
          <w:b/>
          <w:bCs/>
          <w:szCs w:val="28"/>
          <w:shd w:val="clear" w:color="auto" w:fill="FFFFFF"/>
          <w:lang w:eastAsia="ru-RU"/>
        </w:rPr>
      </w:pPr>
      <w:r w:rsidRPr="00323731">
        <w:rPr>
          <w:rFonts w:ascii="Arial Narrow" w:eastAsia="Times New Roman" w:hAnsi="Arial Narrow" w:cs="Times New Roman"/>
          <w:b/>
          <w:bCs/>
          <w:szCs w:val="28"/>
          <w:shd w:val="clear" w:color="auto" w:fill="FFFFFF"/>
          <w:lang w:eastAsia="ru-RU"/>
        </w:rPr>
        <w:t>Acknowledgment</w:t>
      </w:r>
    </w:p>
    <w:p w14:paraId="03CBF061" w14:textId="41D1709C" w:rsidR="000F4EE6" w:rsidRPr="000F4EE6" w:rsidRDefault="00323731" w:rsidP="000F4EE6">
      <w:pPr>
        <w:ind w:firstLine="720"/>
        <w:rPr>
          <w:rFonts w:ascii="Arial Narrow" w:hAnsi="Arial Narrow"/>
          <w:sz w:val="24"/>
          <w:szCs w:val="22"/>
        </w:rPr>
      </w:pPr>
      <w:r w:rsidRPr="00323731">
        <w:rPr>
          <w:rFonts w:ascii="Arial Narrow" w:hAnsi="Arial Narrow"/>
          <w:sz w:val="24"/>
          <w:szCs w:val="22"/>
        </w:rPr>
        <w:t>We would like to express our tha</w:t>
      </w:r>
      <w:bookmarkStart w:id="1" w:name="_GoBack"/>
      <w:bookmarkEnd w:id="1"/>
      <w:r w:rsidRPr="00323731">
        <w:rPr>
          <w:rFonts w:ascii="Arial Narrow" w:hAnsi="Arial Narrow"/>
          <w:sz w:val="24"/>
          <w:szCs w:val="22"/>
        </w:rPr>
        <w:t>nks to all parties who helped with this research. In particular, we would like to thank the school for their assistance from the start of this research through to the evaluation process.</w:t>
      </w:r>
    </w:p>
    <w:p w14:paraId="01C1CDB7" w14:textId="52D681C8" w:rsidR="004B1F4C" w:rsidRPr="00EC49A7" w:rsidRDefault="004B1F4C" w:rsidP="004B1F4C">
      <w:pPr>
        <w:ind w:firstLine="0"/>
        <w:rPr>
          <w:rFonts w:ascii="Arial Narrow" w:hAnsi="Arial Narrow"/>
          <w:b/>
          <w:bCs/>
        </w:rPr>
      </w:pPr>
      <w:r w:rsidRPr="00EC49A7">
        <w:rPr>
          <w:rFonts w:ascii="Arial Narrow" w:hAnsi="Arial Narrow"/>
          <w:b/>
          <w:bCs/>
        </w:rPr>
        <w:t>REFERENCES</w:t>
      </w:r>
    </w:p>
    <w:p w14:paraId="64F49ECB" w14:textId="5840A2E3" w:rsidR="000F4EE6" w:rsidRPr="000F4EE6" w:rsidRDefault="000F4EE6" w:rsidP="000F4EE6">
      <w:pPr>
        <w:widowControl w:val="0"/>
        <w:autoSpaceDE w:val="0"/>
        <w:autoSpaceDN w:val="0"/>
        <w:ind w:left="480" w:hanging="480"/>
        <w:rPr>
          <w:rFonts w:ascii="Arial Narrow" w:hAnsi="Arial Narrow" w:cs="Times New Roman"/>
          <w:noProof/>
          <w:sz w:val="24"/>
        </w:rPr>
      </w:pPr>
      <w:r>
        <w:rPr>
          <w:rFonts w:ascii="Arial Narrow" w:hAnsi="Arial Narrow"/>
          <w:sz w:val="24"/>
        </w:rPr>
        <w:fldChar w:fldCharType="begin" w:fldLock="1"/>
      </w:r>
      <w:r>
        <w:rPr>
          <w:rFonts w:ascii="Arial Narrow" w:hAnsi="Arial Narrow"/>
          <w:sz w:val="24"/>
        </w:rPr>
        <w:instrText xml:space="preserve">ADDIN Mendeley Bibliography CSL_BIBLIOGRAPHY </w:instrText>
      </w:r>
      <w:r>
        <w:rPr>
          <w:rFonts w:ascii="Arial Narrow" w:hAnsi="Arial Narrow"/>
          <w:sz w:val="24"/>
        </w:rPr>
        <w:fldChar w:fldCharType="separate"/>
      </w:r>
      <w:r w:rsidRPr="000F4EE6">
        <w:rPr>
          <w:rFonts w:ascii="Arial Narrow" w:hAnsi="Arial Narrow" w:cs="Times New Roman"/>
          <w:noProof/>
          <w:sz w:val="24"/>
        </w:rPr>
        <w:t xml:space="preserve">Kementerian Kesehatan RI. (2017). Dietetika Penyakit Infeksi. </w:t>
      </w:r>
      <w:r w:rsidRPr="000F4EE6">
        <w:rPr>
          <w:rFonts w:ascii="Arial Narrow" w:hAnsi="Arial Narrow" w:cs="Times New Roman"/>
          <w:i/>
          <w:iCs/>
          <w:noProof/>
          <w:sz w:val="24"/>
        </w:rPr>
        <w:t>Kementrian Kesehatan RI</w:t>
      </w:r>
      <w:r w:rsidRPr="000F4EE6">
        <w:rPr>
          <w:rFonts w:ascii="Arial Narrow" w:hAnsi="Arial Narrow" w:cs="Times New Roman"/>
          <w:noProof/>
          <w:sz w:val="24"/>
        </w:rPr>
        <w:t>, 207–2014.</w:t>
      </w:r>
    </w:p>
    <w:p w14:paraId="177CC73D" w14:textId="57CB9885" w:rsidR="000F4EE6" w:rsidRPr="000F4EE6" w:rsidRDefault="000F4EE6" w:rsidP="000F4EE6">
      <w:pPr>
        <w:widowControl w:val="0"/>
        <w:autoSpaceDE w:val="0"/>
        <w:autoSpaceDN w:val="0"/>
        <w:ind w:left="480" w:hanging="480"/>
        <w:rPr>
          <w:rFonts w:ascii="Arial Narrow" w:hAnsi="Arial Narrow" w:cs="Times New Roman"/>
          <w:noProof/>
          <w:sz w:val="24"/>
        </w:rPr>
      </w:pPr>
      <w:r w:rsidRPr="000F4EE6">
        <w:rPr>
          <w:rFonts w:ascii="Arial Narrow" w:hAnsi="Arial Narrow" w:cs="Times New Roman"/>
          <w:noProof/>
          <w:sz w:val="24"/>
        </w:rPr>
        <w:t xml:space="preserve">Marbun, R. M., Multi Karina,  diah, Maya, C., Jusfera Pakpahan, J., Sinaga, A., Fanny Samosir, L., Tampubolon, M., Gizi, J., Kemenkes Jakarta, P. I., PGI Cikini Jl Hang Jebat III, R., &amp; Baru Jakarta Selatan, K. (2021). Pengaruh Konseling Gizi Dengan Buku Harian Diet Terhadap Pengetahuan, Sikal, Dan Kepatuhan Diet Pasien Gagal Ginjal Dengan Terapi Hemodialisis. </w:t>
      </w:r>
      <w:r w:rsidRPr="000F4EE6">
        <w:rPr>
          <w:rFonts w:ascii="Arial Narrow" w:hAnsi="Arial Narrow" w:cs="Times New Roman"/>
          <w:i/>
          <w:iCs/>
          <w:noProof/>
          <w:sz w:val="24"/>
        </w:rPr>
        <w:t>Kocenin Serial Konferensi</w:t>
      </w:r>
      <w:r w:rsidRPr="000F4EE6">
        <w:rPr>
          <w:rFonts w:ascii="Arial Narrow" w:hAnsi="Arial Narrow" w:cs="Times New Roman"/>
          <w:noProof/>
          <w:sz w:val="24"/>
        </w:rPr>
        <w:t xml:space="preserve">, </w:t>
      </w:r>
      <w:r w:rsidRPr="000F4EE6">
        <w:rPr>
          <w:rFonts w:ascii="Arial Narrow" w:hAnsi="Arial Narrow" w:cs="Times New Roman"/>
          <w:i/>
          <w:iCs/>
          <w:noProof/>
          <w:sz w:val="24"/>
        </w:rPr>
        <w:t>3</w:t>
      </w:r>
      <w:r w:rsidRPr="000F4EE6">
        <w:rPr>
          <w:rFonts w:ascii="Arial Narrow" w:hAnsi="Arial Narrow" w:cs="Times New Roman"/>
          <w:noProof/>
          <w:sz w:val="24"/>
        </w:rPr>
        <w:t>(1), 1–10. https://publikasi.kocenin.com/</w:t>
      </w:r>
    </w:p>
    <w:p w14:paraId="28F41B72" w14:textId="77777777" w:rsidR="000F4EE6" w:rsidRPr="000F4EE6" w:rsidRDefault="000F4EE6" w:rsidP="000F4EE6">
      <w:pPr>
        <w:widowControl w:val="0"/>
        <w:autoSpaceDE w:val="0"/>
        <w:autoSpaceDN w:val="0"/>
        <w:ind w:left="480" w:hanging="480"/>
        <w:rPr>
          <w:rFonts w:ascii="Arial Narrow" w:hAnsi="Arial Narrow" w:cs="Times New Roman"/>
          <w:noProof/>
          <w:sz w:val="24"/>
        </w:rPr>
      </w:pPr>
      <w:r w:rsidRPr="000F4EE6">
        <w:rPr>
          <w:rFonts w:ascii="Arial Narrow" w:hAnsi="Arial Narrow" w:cs="Times New Roman"/>
          <w:noProof/>
          <w:sz w:val="24"/>
        </w:rPr>
        <w:t xml:space="preserve">Rustami, H. S. (2018). </w:t>
      </w:r>
      <w:r w:rsidRPr="000F4EE6">
        <w:rPr>
          <w:rFonts w:ascii="Arial Narrow" w:hAnsi="Arial Narrow" w:cs="Times New Roman"/>
          <w:i/>
          <w:iCs/>
          <w:noProof/>
          <w:sz w:val="24"/>
        </w:rPr>
        <w:t>Hubungan Pengetahuan Gizi Dan Kepatuhan Diet Dengan Kadar Kolesterol Pada Pasien Chf Di Rsud Kota Surakarta</w:t>
      </w:r>
      <w:r w:rsidRPr="000F4EE6">
        <w:rPr>
          <w:rFonts w:ascii="Arial Narrow" w:hAnsi="Arial Narrow" w:cs="Times New Roman"/>
          <w:noProof/>
          <w:sz w:val="24"/>
        </w:rPr>
        <w:t>. 46–50.</w:t>
      </w:r>
    </w:p>
    <w:p w14:paraId="37CDA54E" w14:textId="77777777" w:rsidR="000F4EE6" w:rsidRPr="000F4EE6" w:rsidRDefault="000F4EE6" w:rsidP="000F4EE6">
      <w:pPr>
        <w:widowControl w:val="0"/>
        <w:autoSpaceDE w:val="0"/>
        <w:autoSpaceDN w:val="0"/>
        <w:ind w:left="480" w:hanging="480"/>
        <w:rPr>
          <w:rFonts w:ascii="Arial Narrow" w:hAnsi="Arial Narrow"/>
          <w:noProof/>
          <w:sz w:val="24"/>
        </w:rPr>
      </w:pPr>
      <w:r w:rsidRPr="000F4EE6">
        <w:rPr>
          <w:rFonts w:ascii="Arial Narrow" w:hAnsi="Arial Narrow" w:cs="Times New Roman"/>
          <w:noProof/>
          <w:sz w:val="24"/>
        </w:rPr>
        <w:lastRenderedPageBreak/>
        <w:t xml:space="preserve">Shrestha, N., Gautam, S., Mishra, S. R., Virani, S. S., &amp; Dhungana, R. R. (2021). Burden of chronic kidney disease in the general population and high-risk groups in South Asia: A systematic review and meta-analysis. </w:t>
      </w:r>
      <w:r w:rsidRPr="000F4EE6">
        <w:rPr>
          <w:rFonts w:ascii="Arial Narrow" w:hAnsi="Arial Narrow" w:cs="Times New Roman"/>
          <w:i/>
          <w:iCs/>
          <w:noProof/>
          <w:sz w:val="24"/>
        </w:rPr>
        <w:t>PLoS ONE</w:t>
      </w:r>
      <w:r w:rsidRPr="000F4EE6">
        <w:rPr>
          <w:rFonts w:ascii="Arial Narrow" w:hAnsi="Arial Narrow" w:cs="Times New Roman"/>
          <w:noProof/>
          <w:sz w:val="24"/>
        </w:rPr>
        <w:t xml:space="preserve">, </w:t>
      </w:r>
      <w:r w:rsidRPr="000F4EE6">
        <w:rPr>
          <w:rFonts w:ascii="Arial Narrow" w:hAnsi="Arial Narrow" w:cs="Times New Roman"/>
          <w:i/>
          <w:iCs/>
          <w:noProof/>
          <w:sz w:val="24"/>
        </w:rPr>
        <w:t>16</w:t>
      </w:r>
      <w:r w:rsidRPr="000F4EE6">
        <w:rPr>
          <w:rFonts w:ascii="Arial Narrow" w:hAnsi="Arial Narrow" w:cs="Times New Roman"/>
          <w:noProof/>
          <w:sz w:val="24"/>
        </w:rPr>
        <w:t>(10 October). https://doi.org/10.1371/journal.pone.0258494</w:t>
      </w:r>
    </w:p>
    <w:p w14:paraId="267A32AB" w14:textId="64BB770D" w:rsidR="00D0101F" w:rsidRPr="00D0101F" w:rsidRDefault="000F4EE6" w:rsidP="000C7310">
      <w:pPr>
        <w:ind w:left="426" w:hanging="426"/>
        <w:rPr>
          <w:rFonts w:ascii="Arial Narrow" w:hAnsi="Arial Narrow"/>
          <w:sz w:val="24"/>
        </w:rPr>
      </w:pPr>
      <w:r>
        <w:rPr>
          <w:rFonts w:ascii="Arial Narrow" w:hAnsi="Arial Narrow"/>
          <w:sz w:val="24"/>
        </w:rPr>
        <w:fldChar w:fldCharType="end"/>
      </w:r>
      <w:r w:rsidR="00D0101F" w:rsidRPr="00D0101F">
        <w:t xml:space="preserve"> </w:t>
      </w:r>
      <w:r w:rsidR="00D0101F" w:rsidRPr="00D0101F">
        <w:rPr>
          <w:rFonts w:ascii="Arial Narrow" w:hAnsi="Arial Narrow"/>
          <w:sz w:val="24"/>
        </w:rPr>
        <w:t>Angraini, D. I. (2015). The Different Of Protein Intake Between Chronic Renal Failure Patients With Malnutrition And Not Malnutrition In Hemodialysis Unit At Dr. Abdul Moeloek Hospital Bandar Lampung. Jurnal Kedokteran Kesehatan: Publikasi Ilmiah Fakultas Kedokteran Universitas Sriwijaya, 2(2), 163–168. Https://Ejournal.Unsri.Ac.Id/Index.Php/Jkk/Article/View/2546</w:t>
      </w:r>
    </w:p>
    <w:p w14:paraId="52C58480" w14:textId="38F68790" w:rsidR="004B1F4C" w:rsidRDefault="00D0101F" w:rsidP="000C7310">
      <w:pPr>
        <w:ind w:left="567" w:hanging="567"/>
        <w:rPr>
          <w:rFonts w:ascii="Arial Narrow" w:hAnsi="Arial Narrow"/>
          <w:sz w:val="24"/>
        </w:rPr>
      </w:pPr>
      <w:r w:rsidRPr="00D0101F">
        <w:rPr>
          <w:rFonts w:ascii="Arial Narrow" w:hAnsi="Arial Narrow"/>
          <w:sz w:val="24"/>
        </w:rPr>
        <w:t>Astuti, A. T., &amp; Septriana, S. (2018). Asupan Energi, Zat Gizi Makro, Dan Zat Gizi Mikro Pada Pasien Hemodialisis Di RSUD Panembahan Senopati Bantul. Jurnal Nutrisia, 20(2), 45–52. Https://Doi.Org/10.29238/Jnutri.V20i2.36</w:t>
      </w:r>
    </w:p>
    <w:sectPr w:rsidR="004B1F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CD2AB" w14:textId="77777777" w:rsidR="007F3BE6" w:rsidRDefault="007F3BE6" w:rsidP="0062242C">
      <w:pPr>
        <w:spacing w:line="240" w:lineRule="auto"/>
      </w:pPr>
      <w:r>
        <w:separator/>
      </w:r>
    </w:p>
  </w:endnote>
  <w:endnote w:type="continuationSeparator" w:id="0">
    <w:p w14:paraId="4642C84F" w14:textId="77777777" w:rsidR="007F3BE6" w:rsidRDefault="007F3BE6" w:rsidP="00622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235C9" w14:textId="77777777" w:rsidR="007F3BE6" w:rsidRDefault="007F3BE6" w:rsidP="0062242C">
      <w:pPr>
        <w:spacing w:line="240" w:lineRule="auto"/>
      </w:pPr>
      <w:r>
        <w:separator/>
      </w:r>
    </w:p>
  </w:footnote>
  <w:footnote w:type="continuationSeparator" w:id="0">
    <w:p w14:paraId="69C75824" w14:textId="77777777" w:rsidR="007F3BE6" w:rsidRDefault="007F3BE6" w:rsidP="006224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256C3"/>
    <w:rsid w:val="000632AC"/>
    <w:rsid w:val="000B6926"/>
    <w:rsid w:val="000C7310"/>
    <w:rsid w:val="000F4EE6"/>
    <w:rsid w:val="001034D0"/>
    <w:rsid w:val="001356F8"/>
    <w:rsid w:val="00166A23"/>
    <w:rsid w:val="00203D4E"/>
    <w:rsid w:val="00204DC9"/>
    <w:rsid w:val="00323731"/>
    <w:rsid w:val="004B1F4C"/>
    <w:rsid w:val="0062242C"/>
    <w:rsid w:val="00686743"/>
    <w:rsid w:val="006B36A4"/>
    <w:rsid w:val="007A70FE"/>
    <w:rsid w:val="007F3BE6"/>
    <w:rsid w:val="007F4890"/>
    <w:rsid w:val="00961F5A"/>
    <w:rsid w:val="009B4E7A"/>
    <w:rsid w:val="009C6399"/>
    <w:rsid w:val="00A31C13"/>
    <w:rsid w:val="00C32307"/>
    <w:rsid w:val="00C54F1D"/>
    <w:rsid w:val="00C91668"/>
    <w:rsid w:val="00D0101F"/>
    <w:rsid w:val="00EB7266"/>
    <w:rsid w:val="00F84809"/>
    <w:rsid w:val="00FE1E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paragraph" w:styleId="BalloonText">
    <w:name w:val="Balloon Text"/>
    <w:basedOn w:val="Normal"/>
    <w:link w:val="BalloonTextChar"/>
    <w:uiPriority w:val="99"/>
    <w:semiHidden/>
    <w:unhideWhenUsed/>
    <w:rsid w:val="009C63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399"/>
    <w:rPr>
      <w:rFonts w:ascii="Segoe UI" w:hAnsi="Segoe UI" w:cs="Segoe UI"/>
      <w:sz w:val="18"/>
      <w:szCs w:val="18"/>
      <w:lang w:val="en-US"/>
    </w:rPr>
  </w:style>
  <w:style w:type="paragraph" w:styleId="NormalWeb">
    <w:name w:val="Normal (Web)"/>
    <w:basedOn w:val="Normal"/>
    <w:uiPriority w:val="99"/>
    <w:semiHidden/>
    <w:unhideWhenUsed/>
    <w:rsid w:val="009C6399"/>
    <w:pPr>
      <w:adjustRightInd/>
      <w:snapToGrid/>
      <w:spacing w:before="100" w:beforeAutospacing="1" w:after="100" w:afterAutospacing="1" w:line="240" w:lineRule="auto"/>
      <w:ind w:firstLine="0"/>
      <w:jc w:val="left"/>
    </w:pPr>
    <w:rPr>
      <w:rFonts w:eastAsia="Times New Roman" w:cs="Times New Roman"/>
      <w:sz w:val="24"/>
      <w:lang w:val="en-ID" w:eastAsia="en-ID"/>
    </w:rPr>
  </w:style>
  <w:style w:type="paragraph" w:styleId="Header">
    <w:name w:val="header"/>
    <w:basedOn w:val="Normal"/>
    <w:link w:val="HeaderChar"/>
    <w:uiPriority w:val="99"/>
    <w:unhideWhenUsed/>
    <w:rsid w:val="0062242C"/>
    <w:pPr>
      <w:tabs>
        <w:tab w:val="center" w:pos="4513"/>
        <w:tab w:val="right" w:pos="9026"/>
      </w:tabs>
      <w:spacing w:line="240" w:lineRule="auto"/>
    </w:pPr>
  </w:style>
  <w:style w:type="character" w:customStyle="1" w:styleId="HeaderChar">
    <w:name w:val="Header Char"/>
    <w:basedOn w:val="DefaultParagraphFont"/>
    <w:link w:val="Header"/>
    <w:uiPriority w:val="99"/>
    <w:rsid w:val="0062242C"/>
    <w:rPr>
      <w:rFonts w:ascii="Times New Roman" w:hAnsi="Times New Roman"/>
      <w:sz w:val="28"/>
      <w:szCs w:val="24"/>
      <w:lang w:val="en-US"/>
    </w:rPr>
  </w:style>
  <w:style w:type="paragraph" w:styleId="Footer">
    <w:name w:val="footer"/>
    <w:basedOn w:val="Normal"/>
    <w:link w:val="FooterChar"/>
    <w:uiPriority w:val="99"/>
    <w:unhideWhenUsed/>
    <w:rsid w:val="0062242C"/>
    <w:pPr>
      <w:tabs>
        <w:tab w:val="center" w:pos="4513"/>
        <w:tab w:val="right" w:pos="9026"/>
      </w:tabs>
      <w:spacing w:line="240" w:lineRule="auto"/>
    </w:pPr>
  </w:style>
  <w:style w:type="character" w:customStyle="1" w:styleId="FooterChar">
    <w:name w:val="Footer Char"/>
    <w:basedOn w:val="DefaultParagraphFont"/>
    <w:link w:val="Footer"/>
    <w:uiPriority w:val="99"/>
    <w:rsid w:val="0062242C"/>
    <w:rPr>
      <w:rFonts w:ascii="Times New Roman" w:hAnsi="Times New Roman"/>
      <w:sz w:val="28"/>
      <w:szCs w:val="24"/>
      <w:lang w:val="en-US"/>
    </w:rPr>
  </w:style>
  <w:style w:type="paragraph" w:styleId="BodyText">
    <w:name w:val="Body Text"/>
    <w:basedOn w:val="Normal"/>
    <w:link w:val="BodyTextChar"/>
    <w:uiPriority w:val="1"/>
    <w:qFormat/>
    <w:rsid w:val="006B36A4"/>
    <w:pPr>
      <w:widowControl w:val="0"/>
      <w:autoSpaceDE w:val="0"/>
      <w:autoSpaceDN w:val="0"/>
      <w:adjustRightInd/>
      <w:snapToGrid/>
      <w:spacing w:line="240" w:lineRule="auto"/>
      <w:ind w:firstLine="0"/>
      <w:jc w:val="left"/>
    </w:pPr>
    <w:rPr>
      <w:rFonts w:eastAsia="Times New Roman" w:cs="Times New Roman"/>
      <w:sz w:val="24"/>
      <w:lang w:val="id"/>
    </w:rPr>
  </w:style>
  <w:style w:type="character" w:customStyle="1" w:styleId="BodyTextChar">
    <w:name w:val="Body Text Char"/>
    <w:basedOn w:val="DefaultParagraphFont"/>
    <w:link w:val="BodyText"/>
    <w:uiPriority w:val="1"/>
    <w:rsid w:val="006B36A4"/>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unhideWhenUsed/>
    <w:rsid w:val="000B6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B6926"/>
    <w:rPr>
      <w:rFonts w:ascii="Courier New" w:eastAsia="Times New Roman" w:hAnsi="Courier New" w:cs="Courier New"/>
      <w:sz w:val="20"/>
      <w:szCs w:val="20"/>
      <w:lang w:eastAsia="en-ID"/>
    </w:rPr>
  </w:style>
  <w:style w:type="character" w:customStyle="1" w:styleId="y2iqfc">
    <w:name w:val="y2iqfc"/>
    <w:basedOn w:val="DefaultParagraphFont"/>
    <w:rsid w:val="000B6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706735">
      <w:bodyDiv w:val="1"/>
      <w:marLeft w:val="0"/>
      <w:marRight w:val="0"/>
      <w:marTop w:val="0"/>
      <w:marBottom w:val="0"/>
      <w:divBdr>
        <w:top w:val="none" w:sz="0" w:space="0" w:color="auto"/>
        <w:left w:val="none" w:sz="0" w:space="0" w:color="auto"/>
        <w:bottom w:val="none" w:sz="0" w:space="0" w:color="auto"/>
        <w:right w:val="none" w:sz="0" w:space="0" w:color="auto"/>
      </w:divBdr>
    </w:div>
    <w:div w:id="1314215408">
      <w:bodyDiv w:val="1"/>
      <w:marLeft w:val="0"/>
      <w:marRight w:val="0"/>
      <w:marTop w:val="0"/>
      <w:marBottom w:val="0"/>
      <w:divBdr>
        <w:top w:val="none" w:sz="0" w:space="0" w:color="auto"/>
        <w:left w:val="none" w:sz="0" w:space="0" w:color="auto"/>
        <w:bottom w:val="none" w:sz="0" w:space="0" w:color="auto"/>
        <w:right w:val="none" w:sz="0" w:space="0" w:color="auto"/>
      </w:divBdr>
    </w:div>
    <w:div w:id="1786998894">
      <w:bodyDiv w:val="1"/>
      <w:marLeft w:val="0"/>
      <w:marRight w:val="0"/>
      <w:marTop w:val="0"/>
      <w:marBottom w:val="0"/>
      <w:divBdr>
        <w:top w:val="none" w:sz="0" w:space="0" w:color="auto"/>
        <w:left w:val="none" w:sz="0" w:space="0" w:color="auto"/>
        <w:bottom w:val="none" w:sz="0" w:space="0" w:color="auto"/>
        <w:right w:val="none" w:sz="0" w:space="0" w:color="auto"/>
      </w:divBdr>
      <w:divsChild>
        <w:div w:id="1683629892">
          <w:marLeft w:val="0"/>
          <w:marRight w:val="0"/>
          <w:marTop w:val="0"/>
          <w:marBottom w:val="0"/>
          <w:divBdr>
            <w:top w:val="none" w:sz="0" w:space="0" w:color="auto"/>
            <w:left w:val="none" w:sz="0" w:space="0" w:color="auto"/>
            <w:bottom w:val="none" w:sz="0" w:space="0" w:color="auto"/>
            <w:right w:val="none" w:sz="0" w:space="0" w:color="auto"/>
          </w:divBdr>
        </w:div>
      </w:divsChild>
    </w:div>
    <w:div w:id="2075424125">
      <w:bodyDiv w:val="1"/>
      <w:marLeft w:val="0"/>
      <w:marRight w:val="0"/>
      <w:marTop w:val="0"/>
      <w:marBottom w:val="0"/>
      <w:divBdr>
        <w:top w:val="none" w:sz="0" w:space="0" w:color="auto"/>
        <w:left w:val="none" w:sz="0" w:space="0" w:color="auto"/>
        <w:bottom w:val="none" w:sz="0" w:space="0" w:color="auto"/>
        <w:right w:val="none" w:sz="0" w:space="0" w:color="auto"/>
      </w:divBdr>
      <w:divsChild>
        <w:div w:id="1705596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intenpertiwi1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inten%20folder\SKRIPSI%202023%20PENTING%20BIAR%20STR%20GZ\DATA%20SKRIPSI%20INTEN\DATA%20BIMBINGAN%20HARI%20SENI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'PENGETAHUAN GIZI'!$F$2</c:f>
              <c:strCache>
                <c:ptCount val="1"/>
                <c:pt idx="0">
                  <c:v>Rata-rata skor pengetahuan gizi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'PENGETAHUAN GIZI'!$E$3:$E$4</c:f>
              <c:strCache>
                <c:ptCount val="2"/>
                <c:pt idx="0">
                  <c:v>Before Nutrition Counseling</c:v>
                </c:pt>
                <c:pt idx="1">
                  <c:v>After Nutrition Counseling</c:v>
                </c:pt>
              </c:strCache>
            </c:strRef>
          </c:cat>
          <c:val>
            <c:numRef>
              <c:f>'PENGETAHUAN GIZI'!$F$3:$F$4</c:f>
              <c:numCache>
                <c:formatCode>General</c:formatCode>
                <c:ptCount val="2"/>
                <c:pt idx="0">
                  <c:v>62.727272727272698</c:v>
                </c:pt>
                <c:pt idx="1">
                  <c:v>86.818181818181813</c:v>
                </c:pt>
              </c:numCache>
            </c:numRef>
          </c:val>
          <c:smooth val="0"/>
          <c:extLst>
            <c:ext xmlns:c16="http://schemas.microsoft.com/office/drawing/2014/chart" uri="{C3380CC4-5D6E-409C-BE32-E72D297353CC}">
              <c16:uniqueId val="{00000000-7F2F-4BF6-9458-0EF87B74E62D}"/>
            </c:ext>
          </c:extLst>
        </c:ser>
        <c:dLbls>
          <c:dLblPos val="t"/>
          <c:showLegendKey val="0"/>
          <c:showVal val="1"/>
          <c:showCatName val="0"/>
          <c:showSerName val="0"/>
          <c:showPercent val="0"/>
          <c:showBubbleSize val="0"/>
        </c:dLbls>
        <c:smooth val="0"/>
        <c:axId val="396895807"/>
        <c:axId val="396894559"/>
      </c:lineChart>
      <c:catAx>
        <c:axId val="39689580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96894559"/>
        <c:crosses val="autoZero"/>
        <c:auto val="1"/>
        <c:lblAlgn val="ctr"/>
        <c:lblOffset val="100"/>
        <c:noMultiLvlLbl val="0"/>
      </c:catAx>
      <c:valAx>
        <c:axId val="396894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96895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'ASUPAN ENERGI'!$F$4</c:f>
              <c:strCache>
                <c:ptCount val="1"/>
                <c:pt idx="0">
                  <c:v>Rata-Rata Asupan Energi</c:v>
                </c:pt>
              </c:strCache>
            </c:strRef>
          </c:tx>
          <c:spPr>
            <a:ln w="25400" cap="flat" cmpd="sng" algn="ctr">
              <a:solidFill>
                <a:srgbClr val="4F81BD"/>
              </a:solidFill>
              <a:prstDash val="solid"/>
              <a:round/>
            </a:ln>
            <a:effectLst/>
          </c:spPr>
          <c:marker>
            <c:symbol val="none"/>
          </c:marker>
          <c:dLbls>
            <c:dLbl>
              <c:idx val="0"/>
              <c:layout>
                <c:manualLayout>
                  <c:x val="-8.0911526684164473E-2"/>
                  <c:y val="3.75335120643430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D7-4AA0-89F1-1FA4F7B3182B}"/>
                </c:ext>
              </c:extLst>
            </c:dLbl>
            <c:dLbl>
              <c:idx val="1"/>
              <c:layout>
                <c:manualLayout>
                  <c:x val="-7.3525262467191724E-2"/>
                  <c:y val="-3.7533300964725257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23473944663167107"/>
                      <c:h val="0.11252031833822378"/>
                    </c:manualLayout>
                  </c15:layout>
                </c:ext>
                <c:ext xmlns:c16="http://schemas.microsoft.com/office/drawing/2014/chart" uri="{C3380CC4-5D6E-409C-BE32-E72D297353CC}">
                  <c16:uniqueId val="{00000001-95D7-4AA0-89F1-1FA4F7B3182B}"/>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'ASUPAN ENERGI'!$E$5:$E$6</c:f>
              <c:strCache>
                <c:ptCount val="2"/>
                <c:pt idx="0">
                  <c:v>Before Nutrition Counseling</c:v>
                </c:pt>
                <c:pt idx="1">
                  <c:v>After Nutrition Counseling</c:v>
                </c:pt>
              </c:strCache>
            </c:strRef>
          </c:cat>
          <c:val>
            <c:numRef>
              <c:f>'ASUPAN ENERGI'!$F$5:$F$6</c:f>
              <c:numCache>
                <c:formatCode>General</c:formatCode>
                <c:ptCount val="2"/>
                <c:pt idx="0">
                  <c:v>1298.42</c:v>
                </c:pt>
                <c:pt idx="1">
                  <c:v>1357.63</c:v>
                </c:pt>
              </c:numCache>
            </c:numRef>
          </c:val>
          <c:smooth val="0"/>
          <c:extLst>
            <c:ext xmlns:c16="http://schemas.microsoft.com/office/drawing/2014/chart" uri="{C3380CC4-5D6E-409C-BE32-E72D297353CC}">
              <c16:uniqueId val="{00000002-95D7-4AA0-89F1-1FA4F7B3182B}"/>
            </c:ext>
          </c:extLst>
        </c:ser>
        <c:dLbls>
          <c:dLblPos val="ctr"/>
          <c:showLegendKey val="0"/>
          <c:showVal val="1"/>
          <c:showCatName val="0"/>
          <c:showSerName val="0"/>
          <c:showPercent val="0"/>
          <c:showBubbleSize val="0"/>
        </c:dLbls>
        <c:smooth val="0"/>
        <c:axId val="395119903"/>
        <c:axId val="395104511"/>
      </c:lineChart>
      <c:catAx>
        <c:axId val="39511990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95104511"/>
        <c:crosses val="autoZero"/>
        <c:auto val="1"/>
        <c:lblAlgn val="ctr"/>
        <c:lblOffset val="100"/>
        <c:noMultiLvlLbl val="0"/>
      </c:catAx>
      <c:valAx>
        <c:axId val="395104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951199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Narrow" panose="020B060602020203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'ASUPAN PROTEIN'!$F$10</c:f>
              <c:strCache>
                <c:ptCount val="1"/>
                <c:pt idx="0">
                  <c:v>Rata-Rata Asupan Protein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9618110236220476E-2"/>
                  <c:y val="5.0925925925925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5E-4A45-A16F-3EA0FA95F97A}"/>
                </c:ext>
              </c:extLst>
            </c:dLbl>
            <c:dLbl>
              <c:idx val="1"/>
              <c:layout>
                <c:manualLayout>
                  <c:x val="-2.0625546806650186E-3"/>
                  <c:y val="-1.388888888888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5E-4A45-A16F-3EA0FA95F97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'ASUPAN PROTEIN'!$E$11:$E$12</c:f>
              <c:strCache>
                <c:ptCount val="2"/>
                <c:pt idx="0">
                  <c:v>Before Nutrition Counseling</c:v>
                </c:pt>
                <c:pt idx="1">
                  <c:v>After Nutrition Counseling</c:v>
                </c:pt>
              </c:strCache>
            </c:strRef>
          </c:cat>
          <c:val>
            <c:numRef>
              <c:f>'ASUPAN PROTEIN'!$F$11:$F$12</c:f>
              <c:numCache>
                <c:formatCode>General</c:formatCode>
                <c:ptCount val="2"/>
                <c:pt idx="0">
                  <c:v>44.4</c:v>
                </c:pt>
                <c:pt idx="1">
                  <c:v>47.09</c:v>
                </c:pt>
              </c:numCache>
            </c:numRef>
          </c:val>
          <c:smooth val="0"/>
          <c:extLst>
            <c:ext xmlns:c16="http://schemas.microsoft.com/office/drawing/2014/chart" uri="{C3380CC4-5D6E-409C-BE32-E72D297353CC}">
              <c16:uniqueId val="{00000002-185E-4A45-A16F-3EA0FA95F97A}"/>
            </c:ext>
          </c:extLst>
        </c:ser>
        <c:dLbls>
          <c:dLblPos val="ctr"/>
          <c:showLegendKey val="0"/>
          <c:showVal val="1"/>
          <c:showCatName val="0"/>
          <c:showSerName val="0"/>
          <c:showPercent val="0"/>
          <c:showBubbleSize val="0"/>
        </c:dLbls>
        <c:marker val="1"/>
        <c:smooth val="0"/>
        <c:axId val="395111999"/>
        <c:axId val="395102847"/>
      </c:lineChart>
      <c:catAx>
        <c:axId val="395111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95102847"/>
        <c:crosses val="autoZero"/>
        <c:auto val="1"/>
        <c:lblAlgn val="ctr"/>
        <c:lblOffset val="100"/>
        <c:noMultiLvlLbl val="0"/>
      </c:catAx>
      <c:valAx>
        <c:axId val="395102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95111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A92F7B9-4ED9-4B5E-A315-8ECC3B9B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luminitegunaharius@gmail.com</cp:lastModifiedBy>
  <cp:revision>7</cp:revision>
  <dcterms:created xsi:type="dcterms:W3CDTF">2023-10-07T12:21:00Z</dcterms:created>
  <dcterms:modified xsi:type="dcterms:W3CDTF">2023-10-07T23:49:00Z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4736c374-2da0-3a59-93b0-420fca831af3</vt:lpwstr>
  </property>
</Properties>
</file>